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94F1" w14:textId="06982071" w:rsidR="007F7703" w:rsidRDefault="007F7703" w:rsidP="00CD13DC">
      <w:pPr>
        <w:spacing w:before="120" w:after="0" w:line="240" w:lineRule="auto"/>
        <w:jc w:val="center"/>
        <w:rPr>
          <w:rFonts w:cstheme="minorHAnsi"/>
        </w:rPr>
      </w:pPr>
      <w:r w:rsidRPr="00950C07">
        <w:rPr>
          <w:rFonts w:cstheme="minorHAnsi"/>
          <w:noProof/>
          <w:lang w:val="en-US" w:eastAsia="en-US"/>
        </w:rPr>
        <w:drawing>
          <wp:inline distT="0" distB="0" distL="0" distR="0" wp14:anchorId="59FA39D4" wp14:editId="6F89580C">
            <wp:extent cx="2971800" cy="876016"/>
            <wp:effectExtent l="19050" t="0" r="0" b="0"/>
            <wp:docPr id="8" name="Picture 2" descr="K:\IMEDOC\4_TEMPLATES\loga\IME_logo\ime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EDOC\4_TEMPLATES\loga\IME_logo\ime_bg.jpg"/>
                    <pic:cNvPicPr>
                      <a:picLocks noChangeAspect="1" noChangeArrowheads="1"/>
                    </pic:cNvPicPr>
                  </pic:nvPicPr>
                  <pic:blipFill>
                    <a:blip r:embed="rId8" cstate="print"/>
                    <a:srcRect/>
                    <a:stretch>
                      <a:fillRect/>
                    </a:stretch>
                  </pic:blipFill>
                  <pic:spPr bwMode="auto">
                    <a:xfrm>
                      <a:off x="0" y="0"/>
                      <a:ext cx="2980172" cy="878484"/>
                    </a:xfrm>
                    <a:prstGeom prst="rect">
                      <a:avLst/>
                    </a:prstGeom>
                    <a:noFill/>
                    <a:ln w="9525">
                      <a:noFill/>
                      <a:miter lim="800000"/>
                      <a:headEnd/>
                      <a:tailEnd/>
                    </a:ln>
                  </pic:spPr>
                </pic:pic>
              </a:graphicData>
            </a:graphic>
          </wp:inline>
        </w:drawing>
      </w:r>
    </w:p>
    <w:p w14:paraId="1521333E" w14:textId="77777777" w:rsidR="004B21FD" w:rsidRPr="00950C07" w:rsidRDefault="004B21FD" w:rsidP="00CD13DC">
      <w:pPr>
        <w:spacing w:before="120" w:after="0" w:line="240" w:lineRule="auto"/>
        <w:jc w:val="center"/>
        <w:rPr>
          <w:rFonts w:cstheme="minorHAnsi"/>
        </w:rPr>
      </w:pPr>
    </w:p>
    <w:p w14:paraId="46C2B339" w14:textId="77777777" w:rsidR="007F7703" w:rsidRPr="00950C07" w:rsidRDefault="007F7703" w:rsidP="00CD13DC">
      <w:pPr>
        <w:spacing w:before="120" w:after="0" w:line="240" w:lineRule="auto"/>
        <w:rPr>
          <w:rFonts w:cstheme="minorHAnsi"/>
          <w:b/>
          <w:caps/>
        </w:rPr>
      </w:pPr>
    </w:p>
    <w:p w14:paraId="22DB30D2" w14:textId="210641DC" w:rsidR="005117DD" w:rsidRPr="00CD13DC" w:rsidRDefault="004B21FD" w:rsidP="00CD13DC">
      <w:pPr>
        <w:spacing w:before="120" w:after="0" w:line="240" w:lineRule="auto"/>
        <w:jc w:val="center"/>
        <w:rPr>
          <w:rFonts w:cstheme="minorHAnsi"/>
          <w:sz w:val="48"/>
          <w:szCs w:val="48"/>
        </w:rPr>
      </w:pPr>
      <w:r w:rsidRPr="00CD13DC">
        <w:rPr>
          <w:rFonts w:asciiTheme="majorHAnsi" w:hAnsiTheme="majorHAnsi" w:cs="Calibri"/>
          <w:caps/>
          <w:noProof/>
          <w:lang w:val="en-US" w:eastAsia="en-US"/>
        </w:rPr>
        <w:drawing>
          <wp:anchor distT="0" distB="0" distL="114300" distR="114300" simplePos="0" relativeHeight="251675648" behindDoc="0" locked="0" layoutInCell="1" allowOverlap="1" wp14:anchorId="081946E7" wp14:editId="48DB4071">
            <wp:simplePos x="0" y="0"/>
            <wp:positionH relativeFrom="margin">
              <wp:posOffset>-4445</wp:posOffset>
            </wp:positionH>
            <wp:positionV relativeFrom="paragraph">
              <wp:posOffset>102870</wp:posOffset>
            </wp:positionV>
            <wp:extent cx="2571750" cy="1864360"/>
            <wp:effectExtent l="0" t="0" r="0" b="254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71750" cy="186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703" w:rsidRPr="00CD13DC">
        <w:rPr>
          <w:rFonts w:cstheme="minorHAnsi"/>
          <w:sz w:val="48"/>
          <w:szCs w:val="48"/>
        </w:rPr>
        <w:t>УСПЕХИТЕ И ПРОВАЛИТЕ НА БЪЛГАРСКИТЕ ПРАВИТЕЛСТВА</w:t>
      </w:r>
      <w:r w:rsidR="005117DD" w:rsidRPr="00CD13DC">
        <w:rPr>
          <w:rFonts w:cstheme="minorHAnsi"/>
          <w:sz w:val="48"/>
          <w:szCs w:val="48"/>
        </w:rPr>
        <w:t xml:space="preserve"> </w:t>
      </w:r>
    </w:p>
    <w:p w14:paraId="78B36C4E" w14:textId="25F5E0E5" w:rsidR="007F7703" w:rsidRPr="00CD13DC" w:rsidRDefault="007F7703" w:rsidP="00CD13DC">
      <w:pPr>
        <w:spacing w:before="120" w:after="0" w:line="240" w:lineRule="auto"/>
        <w:jc w:val="center"/>
        <w:rPr>
          <w:rFonts w:cstheme="minorHAnsi"/>
          <w:sz w:val="48"/>
          <w:szCs w:val="48"/>
          <w:lang w:val="en-US"/>
        </w:rPr>
      </w:pPr>
      <w:r w:rsidRPr="00CD13DC">
        <w:rPr>
          <w:rFonts w:cstheme="minorHAnsi"/>
          <w:sz w:val="48"/>
          <w:szCs w:val="48"/>
        </w:rPr>
        <w:t>1998 - 20</w:t>
      </w:r>
      <w:r w:rsidR="00687D81" w:rsidRPr="00CD13DC">
        <w:rPr>
          <w:rFonts w:cstheme="minorHAnsi"/>
          <w:sz w:val="48"/>
          <w:szCs w:val="48"/>
        </w:rPr>
        <w:t>20</w:t>
      </w:r>
    </w:p>
    <w:p w14:paraId="164EDE74" w14:textId="77777777" w:rsidR="007F7703" w:rsidRPr="00950C07" w:rsidRDefault="007F7703" w:rsidP="00CD13DC">
      <w:pPr>
        <w:spacing w:before="120" w:after="0" w:line="240" w:lineRule="auto"/>
        <w:jc w:val="center"/>
        <w:rPr>
          <w:rFonts w:cstheme="minorHAnsi"/>
          <w:sz w:val="28"/>
          <w:szCs w:val="28"/>
        </w:rPr>
      </w:pPr>
      <w:r w:rsidRPr="00950C07">
        <w:rPr>
          <w:rFonts w:cstheme="minorHAnsi"/>
          <w:sz w:val="28"/>
          <w:szCs w:val="28"/>
        </w:rPr>
        <w:t>Преглед на одитните доклади на Сметната палата</w:t>
      </w:r>
    </w:p>
    <w:p w14:paraId="6AB8D431" w14:textId="444216DF" w:rsidR="007F7703" w:rsidRPr="005117DD" w:rsidRDefault="004B21FD" w:rsidP="00CD13DC">
      <w:pPr>
        <w:spacing w:before="120" w:after="0" w:line="240" w:lineRule="auto"/>
        <w:jc w:val="center"/>
        <w:rPr>
          <w:rFonts w:cstheme="minorHAnsi"/>
          <w:sz w:val="24"/>
          <w:szCs w:val="24"/>
        </w:rPr>
      </w:pPr>
      <w:r>
        <w:rPr>
          <w:rFonts w:cstheme="minorHAnsi"/>
          <w:sz w:val="28"/>
          <w:szCs w:val="28"/>
        </w:rPr>
        <w:t>седмо</w:t>
      </w:r>
      <w:r w:rsidR="007F7703" w:rsidRPr="005117DD">
        <w:rPr>
          <w:rFonts w:cstheme="minorHAnsi"/>
          <w:sz w:val="28"/>
          <w:szCs w:val="28"/>
        </w:rPr>
        <w:t xml:space="preserve"> издание</w:t>
      </w:r>
    </w:p>
    <w:p w14:paraId="035D1833" w14:textId="77777777" w:rsidR="00656E76" w:rsidRPr="00950C07" w:rsidRDefault="00656E76" w:rsidP="00CD13DC">
      <w:pPr>
        <w:spacing w:before="120" w:after="0" w:line="240" w:lineRule="auto"/>
        <w:jc w:val="both"/>
        <w:rPr>
          <w:rFonts w:cstheme="minorHAnsi"/>
        </w:rPr>
      </w:pPr>
    </w:p>
    <w:p w14:paraId="7D7A807A" w14:textId="77777777" w:rsidR="00E8734D" w:rsidRDefault="00E8734D" w:rsidP="00CD13DC">
      <w:pPr>
        <w:spacing w:before="120" w:after="0" w:line="240" w:lineRule="auto"/>
        <w:jc w:val="center"/>
        <w:rPr>
          <w:rFonts w:cstheme="minorHAnsi"/>
        </w:rPr>
      </w:pPr>
    </w:p>
    <w:p w14:paraId="5F9FBCC2" w14:textId="77777777" w:rsidR="00E8734D" w:rsidRDefault="00E8734D" w:rsidP="00CD13DC">
      <w:pPr>
        <w:spacing w:before="120" w:after="0" w:line="240" w:lineRule="auto"/>
        <w:jc w:val="center"/>
        <w:rPr>
          <w:rFonts w:cstheme="minorHAnsi"/>
        </w:rPr>
      </w:pPr>
    </w:p>
    <w:p w14:paraId="0E1942CF" w14:textId="77777777" w:rsidR="00E8734D" w:rsidRPr="00950C07" w:rsidRDefault="00E8734D" w:rsidP="00CD13DC">
      <w:pPr>
        <w:spacing w:before="120" w:after="0" w:line="240" w:lineRule="auto"/>
        <w:jc w:val="center"/>
        <w:rPr>
          <w:rFonts w:cstheme="minorHAnsi"/>
        </w:rPr>
      </w:pPr>
    </w:p>
    <w:p w14:paraId="7A24BAFD" w14:textId="77777777" w:rsidR="00656E76" w:rsidRPr="00950C07" w:rsidRDefault="005B287A" w:rsidP="00CD13DC">
      <w:pPr>
        <w:spacing w:before="120" w:after="0" w:line="240" w:lineRule="auto"/>
        <w:jc w:val="center"/>
        <w:rPr>
          <w:rFonts w:cstheme="minorHAnsi"/>
        </w:rPr>
      </w:pPr>
      <w:hyperlink r:id="rId10" w:history="1">
        <w:r w:rsidR="00656E76" w:rsidRPr="00950C07">
          <w:rPr>
            <w:rStyle w:val="Hyperlink"/>
            <w:rFonts w:cstheme="minorHAnsi"/>
          </w:rPr>
          <w:t>www.ime.bg</w:t>
        </w:r>
      </w:hyperlink>
    </w:p>
    <w:p w14:paraId="6E267A29" w14:textId="5A3ECC00" w:rsidR="00656E76" w:rsidRPr="00950C07" w:rsidRDefault="00AC6AA4" w:rsidP="00CD13DC">
      <w:pPr>
        <w:spacing w:before="120" w:after="0" w:line="240" w:lineRule="auto"/>
        <w:jc w:val="center"/>
        <w:rPr>
          <w:rFonts w:cstheme="minorHAnsi"/>
        </w:rPr>
      </w:pPr>
      <w:r>
        <w:rPr>
          <w:rFonts w:cstheme="minorHAnsi"/>
        </w:rPr>
        <w:t>2021</w:t>
      </w:r>
    </w:p>
    <w:p w14:paraId="552979A5" w14:textId="39C48582" w:rsidR="00366E48" w:rsidRDefault="00366E48" w:rsidP="00CD13DC">
      <w:pPr>
        <w:spacing w:before="120" w:after="0" w:line="240" w:lineRule="auto"/>
        <w:rPr>
          <w:rFonts w:cstheme="minorHAnsi"/>
        </w:rPr>
      </w:pPr>
    </w:p>
    <w:p w14:paraId="4342A132" w14:textId="3FFE659A" w:rsidR="009E2B05" w:rsidRDefault="009E2B05" w:rsidP="00CD13DC">
      <w:pPr>
        <w:spacing w:before="120" w:after="0" w:line="240" w:lineRule="auto"/>
        <w:rPr>
          <w:rFonts w:cstheme="minorHAnsi"/>
        </w:rPr>
      </w:pPr>
    </w:p>
    <w:p w14:paraId="5D3D5D50" w14:textId="2C30E3A2" w:rsidR="009E2B05" w:rsidRDefault="009E2B05" w:rsidP="00CD13DC">
      <w:pPr>
        <w:spacing w:before="120" w:after="0" w:line="240" w:lineRule="auto"/>
        <w:rPr>
          <w:rFonts w:cstheme="minorHAnsi"/>
        </w:rPr>
      </w:pPr>
    </w:p>
    <w:p w14:paraId="6A997A9E" w14:textId="2943F82C" w:rsidR="00CD13DC" w:rsidRDefault="00CD13DC" w:rsidP="00CD13DC">
      <w:pPr>
        <w:spacing w:before="120" w:after="0" w:line="240" w:lineRule="auto"/>
        <w:rPr>
          <w:rFonts w:cstheme="minorHAnsi"/>
        </w:rPr>
      </w:pPr>
    </w:p>
    <w:p w14:paraId="2F946C9A" w14:textId="6C1727C2" w:rsidR="00CD13DC" w:rsidRDefault="00CD13DC" w:rsidP="00CD13DC">
      <w:pPr>
        <w:spacing w:before="120" w:after="0" w:line="240" w:lineRule="auto"/>
        <w:rPr>
          <w:rFonts w:cstheme="minorHAnsi"/>
        </w:rPr>
      </w:pPr>
    </w:p>
    <w:p w14:paraId="4F5D392F" w14:textId="466795B8" w:rsidR="00CD13DC" w:rsidRDefault="00CD13DC" w:rsidP="00CD13DC">
      <w:pPr>
        <w:spacing w:before="120" w:after="0" w:line="240" w:lineRule="auto"/>
        <w:rPr>
          <w:rFonts w:cstheme="minorHAnsi"/>
        </w:rPr>
      </w:pPr>
    </w:p>
    <w:p w14:paraId="0EE77EED" w14:textId="61FCFDB9" w:rsidR="00CD13DC" w:rsidRDefault="00CD13DC" w:rsidP="00CD13DC">
      <w:pPr>
        <w:spacing w:before="120" w:after="0" w:line="240" w:lineRule="auto"/>
        <w:rPr>
          <w:rFonts w:cstheme="minorHAnsi"/>
        </w:rPr>
      </w:pPr>
    </w:p>
    <w:p w14:paraId="419E81D1" w14:textId="77777777" w:rsidR="00CD13DC" w:rsidRDefault="00CD13DC" w:rsidP="00CD13DC">
      <w:pPr>
        <w:spacing w:before="120" w:after="0" w:line="240" w:lineRule="auto"/>
        <w:rPr>
          <w:rFonts w:cstheme="minorHAnsi"/>
        </w:rPr>
      </w:pPr>
    </w:p>
    <w:p w14:paraId="70C9E616" w14:textId="48B5FB66" w:rsidR="009E2B05" w:rsidRPr="008F10A9" w:rsidRDefault="000678D0" w:rsidP="00CD13DC">
      <w:pPr>
        <w:spacing w:before="120" w:after="0" w:line="240" w:lineRule="auto"/>
        <w:jc w:val="center"/>
        <w:rPr>
          <w:rFonts w:cstheme="minorHAnsi"/>
        </w:rPr>
      </w:pPr>
      <w:r w:rsidRPr="008F10A9">
        <w:rPr>
          <w:rFonts w:cstheme="minorHAnsi"/>
        </w:rPr>
        <w:t xml:space="preserve">Изследването се издава със съдействието на </w:t>
      </w:r>
      <w:r w:rsidR="0087710D" w:rsidRPr="008F10A9">
        <w:rPr>
          <w:rFonts w:cstheme="minorHAnsi"/>
        </w:rPr>
        <w:t>Фондация за свободата „Фридрих Науман“</w:t>
      </w:r>
    </w:p>
    <w:p w14:paraId="332C876F" w14:textId="625F4755" w:rsidR="00746982" w:rsidRPr="00366E48" w:rsidRDefault="009E2B05" w:rsidP="00CD13DC">
      <w:pPr>
        <w:spacing w:before="120" w:after="0" w:line="240" w:lineRule="auto"/>
        <w:jc w:val="center"/>
        <w:rPr>
          <w:rFonts w:cstheme="minorHAnsi"/>
          <w:b/>
          <w:i/>
        </w:rPr>
      </w:pPr>
      <w:r w:rsidRPr="009E2B05">
        <w:rPr>
          <w:rFonts w:cstheme="minorHAnsi"/>
          <w:i/>
          <w:noProof/>
          <w:lang w:val="en-US" w:eastAsia="en-US"/>
        </w:rPr>
        <w:drawing>
          <wp:inline distT="0" distB="0" distL="0" distR="0" wp14:anchorId="2D3B0863" wp14:editId="2C5FA810">
            <wp:extent cx="2168967" cy="885825"/>
            <wp:effectExtent l="0" t="0" r="3175" b="0"/>
            <wp:docPr id="9" name="Picture 9" descr="C:\Users\Svetla\Downloads\FNF_Englisch_Farb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Downloads\FNF_Englisch_Farbe_Scre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775" cy="897590"/>
                    </a:xfrm>
                    <a:prstGeom prst="rect">
                      <a:avLst/>
                    </a:prstGeom>
                    <a:noFill/>
                    <a:ln>
                      <a:noFill/>
                    </a:ln>
                  </pic:spPr>
                </pic:pic>
              </a:graphicData>
            </a:graphic>
          </wp:inline>
        </w:drawing>
      </w:r>
      <w:r w:rsidR="00746982">
        <w:rPr>
          <w:rFonts w:cstheme="minorHAnsi"/>
          <w:lang w:val="en-US"/>
        </w:rPr>
        <w:br w:type="page"/>
      </w:r>
    </w:p>
    <w:bookmarkStart w:id="0" w:name="_Toc356652892" w:displacedByCustomXml="next"/>
    <w:sdt>
      <w:sdtPr>
        <w:rPr>
          <w:rFonts w:asciiTheme="minorHAnsi" w:eastAsiaTheme="minorEastAsia" w:hAnsiTheme="minorHAnsi" w:cstheme="minorHAnsi"/>
          <w:b w:val="0"/>
          <w:bCs w:val="0"/>
          <w:color w:val="auto"/>
          <w:sz w:val="22"/>
          <w:szCs w:val="22"/>
          <w:lang w:val="bg-BG" w:eastAsia="bg-BG"/>
        </w:rPr>
        <w:id w:val="88259298"/>
        <w:docPartObj>
          <w:docPartGallery w:val="Table of Contents"/>
          <w:docPartUnique/>
        </w:docPartObj>
      </w:sdtPr>
      <w:sdtEndPr/>
      <w:sdtContent>
        <w:p w14:paraId="4E5474A8" w14:textId="77777777" w:rsidR="0070126D" w:rsidRPr="008861B6" w:rsidRDefault="00220A0E" w:rsidP="00CD13DC">
          <w:pPr>
            <w:pStyle w:val="TOCHeading"/>
            <w:shd w:val="clear" w:color="auto" w:fill="808080" w:themeFill="background1" w:themeFillShade="80"/>
            <w:spacing w:before="120" w:line="240" w:lineRule="auto"/>
            <w:rPr>
              <w:rFonts w:asciiTheme="minorHAnsi" w:hAnsiTheme="minorHAnsi" w:cstheme="minorHAnsi"/>
              <w:color w:val="FFFFFF" w:themeColor="background1"/>
            </w:rPr>
          </w:pPr>
          <w:r w:rsidRPr="008861B6">
            <w:rPr>
              <w:rFonts w:asciiTheme="minorHAnsi" w:eastAsiaTheme="minorEastAsia" w:hAnsiTheme="minorHAnsi" w:cstheme="minorHAnsi"/>
              <w:bCs w:val="0"/>
              <w:color w:val="FFFFFF" w:themeColor="background1"/>
              <w:sz w:val="24"/>
              <w:szCs w:val="24"/>
              <w:lang w:val="bg-BG" w:eastAsia="bg-BG"/>
            </w:rPr>
            <w:t>СЪДЪРЖАНИЕ</w:t>
          </w:r>
        </w:p>
        <w:p w14:paraId="190C27E0" w14:textId="77777777" w:rsidR="00F04058" w:rsidRPr="00950C07" w:rsidRDefault="00F04058" w:rsidP="00CD13DC">
          <w:pPr>
            <w:pStyle w:val="TOC1"/>
            <w:tabs>
              <w:tab w:val="right" w:leader="dot" w:pos="9062"/>
            </w:tabs>
            <w:spacing w:before="120" w:after="0" w:line="240" w:lineRule="auto"/>
            <w:rPr>
              <w:rFonts w:cstheme="minorHAnsi"/>
              <w:sz w:val="24"/>
              <w:szCs w:val="24"/>
            </w:rPr>
          </w:pPr>
        </w:p>
        <w:p w14:paraId="42C68EA2" w14:textId="509B75A5" w:rsidR="004C0B5B" w:rsidRDefault="00423E7B">
          <w:pPr>
            <w:pStyle w:val="TOC1"/>
            <w:tabs>
              <w:tab w:val="right" w:leader="dot" w:pos="9062"/>
            </w:tabs>
            <w:rPr>
              <w:noProof/>
              <w:lang w:val="en-US" w:eastAsia="en-US"/>
            </w:rPr>
          </w:pPr>
          <w:r w:rsidRPr="00950C07">
            <w:rPr>
              <w:rFonts w:cstheme="minorHAnsi"/>
              <w:sz w:val="24"/>
              <w:szCs w:val="24"/>
            </w:rPr>
            <w:fldChar w:fldCharType="begin"/>
          </w:r>
          <w:r w:rsidR="0070126D" w:rsidRPr="00950C07">
            <w:rPr>
              <w:rFonts w:cstheme="minorHAnsi"/>
              <w:sz w:val="24"/>
              <w:szCs w:val="24"/>
            </w:rPr>
            <w:instrText xml:space="preserve"> TOC \o "1-3" \h \z \u </w:instrText>
          </w:r>
          <w:r w:rsidRPr="00950C07">
            <w:rPr>
              <w:rFonts w:cstheme="minorHAnsi"/>
              <w:sz w:val="24"/>
              <w:szCs w:val="24"/>
            </w:rPr>
            <w:fldChar w:fldCharType="separate"/>
          </w:r>
          <w:hyperlink w:anchor="_Toc82520994" w:history="1">
            <w:r w:rsidR="004C0B5B" w:rsidRPr="00B16E3A">
              <w:rPr>
                <w:rStyle w:val="Hyperlink"/>
                <w:rFonts w:cstheme="minorHAnsi"/>
                <w:noProof/>
              </w:rPr>
              <w:t>Резюме</w:t>
            </w:r>
            <w:r w:rsidR="004C0B5B">
              <w:rPr>
                <w:noProof/>
                <w:webHidden/>
              </w:rPr>
              <w:tab/>
            </w:r>
            <w:r w:rsidR="004C0B5B">
              <w:rPr>
                <w:noProof/>
                <w:webHidden/>
              </w:rPr>
              <w:fldChar w:fldCharType="begin"/>
            </w:r>
            <w:r w:rsidR="004C0B5B">
              <w:rPr>
                <w:noProof/>
                <w:webHidden/>
              </w:rPr>
              <w:instrText xml:space="preserve"> PAGEREF _Toc82520994 \h </w:instrText>
            </w:r>
            <w:r w:rsidR="004C0B5B">
              <w:rPr>
                <w:noProof/>
                <w:webHidden/>
              </w:rPr>
            </w:r>
            <w:r w:rsidR="004C0B5B">
              <w:rPr>
                <w:noProof/>
                <w:webHidden/>
              </w:rPr>
              <w:fldChar w:fldCharType="separate"/>
            </w:r>
            <w:r w:rsidR="004C0B5B">
              <w:rPr>
                <w:noProof/>
                <w:webHidden/>
              </w:rPr>
              <w:t>3</w:t>
            </w:r>
            <w:r w:rsidR="004C0B5B">
              <w:rPr>
                <w:noProof/>
                <w:webHidden/>
              </w:rPr>
              <w:fldChar w:fldCharType="end"/>
            </w:r>
          </w:hyperlink>
        </w:p>
        <w:p w14:paraId="565AA681" w14:textId="46F78E10" w:rsidR="004C0B5B" w:rsidRDefault="005B287A">
          <w:pPr>
            <w:pStyle w:val="TOC1"/>
            <w:tabs>
              <w:tab w:val="right" w:leader="dot" w:pos="9062"/>
            </w:tabs>
            <w:rPr>
              <w:noProof/>
              <w:lang w:val="en-US" w:eastAsia="en-US"/>
            </w:rPr>
          </w:pPr>
          <w:hyperlink w:anchor="_Toc82520995" w:history="1">
            <w:r w:rsidR="004C0B5B" w:rsidRPr="00B16E3A">
              <w:rPr>
                <w:rStyle w:val="Hyperlink"/>
                <w:rFonts w:cstheme="minorHAnsi"/>
                <w:noProof/>
              </w:rPr>
              <w:t>Методология</w:t>
            </w:r>
            <w:r w:rsidR="004C0B5B">
              <w:rPr>
                <w:noProof/>
                <w:webHidden/>
              </w:rPr>
              <w:tab/>
            </w:r>
            <w:r w:rsidR="004C0B5B">
              <w:rPr>
                <w:noProof/>
                <w:webHidden/>
              </w:rPr>
              <w:fldChar w:fldCharType="begin"/>
            </w:r>
            <w:r w:rsidR="004C0B5B">
              <w:rPr>
                <w:noProof/>
                <w:webHidden/>
              </w:rPr>
              <w:instrText xml:space="preserve"> PAGEREF _Toc82520995 \h </w:instrText>
            </w:r>
            <w:r w:rsidR="004C0B5B">
              <w:rPr>
                <w:noProof/>
                <w:webHidden/>
              </w:rPr>
            </w:r>
            <w:r w:rsidR="004C0B5B">
              <w:rPr>
                <w:noProof/>
                <w:webHidden/>
              </w:rPr>
              <w:fldChar w:fldCharType="separate"/>
            </w:r>
            <w:r w:rsidR="004C0B5B">
              <w:rPr>
                <w:noProof/>
                <w:webHidden/>
              </w:rPr>
              <w:t>6</w:t>
            </w:r>
            <w:r w:rsidR="004C0B5B">
              <w:rPr>
                <w:noProof/>
                <w:webHidden/>
              </w:rPr>
              <w:fldChar w:fldCharType="end"/>
            </w:r>
          </w:hyperlink>
        </w:p>
        <w:p w14:paraId="6EB291E8" w14:textId="0FC4B4F2" w:rsidR="004C0B5B" w:rsidRDefault="005B287A">
          <w:pPr>
            <w:pStyle w:val="TOC2"/>
            <w:tabs>
              <w:tab w:val="right" w:leader="dot" w:pos="9062"/>
            </w:tabs>
            <w:rPr>
              <w:noProof/>
              <w:lang w:val="en-US" w:eastAsia="en-US"/>
            </w:rPr>
          </w:pPr>
          <w:hyperlink w:anchor="_Toc82520996" w:history="1">
            <w:r w:rsidR="004C0B5B" w:rsidRPr="00B16E3A">
              <w:rPr>
                <w:rStyle w:val="Hyperlink"/>
                <w:rFonts w:cstheme="minorHAnsi"/>
                <w:i/>
                <w:noProof/>
              </w:rPr>
              <w:t>Индикатори за успех и провал</w:t>
            </w:r>
            <w:r w:rsidR="004C0B5B">
              <w:rPr>
                <w:noProof/>
                <w:webHidden/>
              </w:rPr>
              <w:tab/>
            </w:r>
            <w:r w:rsidR="004C0B5B">
              <w:rPr>
                <w:noProof/>
                <w:webHidden/>
              </w:rPr>
              <w:fldChar w:fldCharType="begin"/>
            </w:r>
            <w:r w:rsidR="004C0B5B">
              <w:rPr>
                <w:noProof/>
                <w:webHidden/>
              </w:rPr>
              <w:instrText xml:space="preserve"> PAGEREF _Toc82520996 \h </w:instrText>
            </w:r>
            <w:r w:rsidR="004C0B5B">
              <w:rPr>
                <w:noProof/>
                <w:webHidden/>
              </w:rPr>
            </w:r>
            <w:r w:rsidR="004C0B5B">
              <w:rPr>
                <w:noProof/>
                <w:webHidden/>
              </w:rPr>
              <w:fldChar w:fldCharType="separate"/>
            </w:r>
            <w:r w:rsidR="004C0B5B">
              <w:rPr>
                <w:noProof/>
                <w:webHidden/>
              </w:rPr>
              <w:t>6</w:t>
            </w:r>
            <w:r w:rsidR="004C0B5B">
              <w:rPr>
                <w:noProof/>
                <w:webHidden/>
              </w:rPr>
              <w:fldChar w:fldCharType="end"/>
            </w:r>
          </w:hyperlink>
        </w:p>
        <w:p w14:paraId="53945276" w14:textId="7EA8A276" w:rsidR="004C0B5B" w:rsidRDefault="005B287A">
          <w:pPr>
            <w:pStyle w:val="TOC2"/>
            <w:tabs>
              <w:tab w:val="right" w:leader="dot" w:pos="9062"/>
            </w:tabs>
            <w:rPr>
              <w:noProof/>
              <w:lang w:val="en-US" w:eastAsia="en-US"/>
            </w:rPr>
          </w:pPr>
          <w:hyperlink w:anchor="_Toc82520997" w:history="1">
            <w:r w:rsidR="004C0B5B" w:rsidRPr="00B16E3A">
              <w:rPr>
                <w:rStyle w:val="Hyperlink"/>
                <w:rFonts w:cstheme="minorHAnsi"/>
                <w:i/>
                <w:noProof/>
              </w:rPr>
              <w:t>Времеви обхват</w:t>
            </w:r>
            <w:r w:rsidR="004C0B5B">
              <w:rPr>
                <w:noProof/>
                <w:webHidden/>
              </w:rPr>
              <w:tab/>
            </w:r>
            <w:r w:rsidR="004C0B5B">
              <w:rPr>
                <w:noProof/>
                <w:webHidden/>
              </w:rPr>
              <w:fldChar w:fldCharType="begin"/>
            </w:r>
            <w:r w:rsidR="004C0B5B">
              <w:rPr>
                <w:noProof/>
                <w:webHidden/>
              </w:rPr>
              <w:instrText xml:space="preserve"> PAGEREF _Toc82520997 \h </w:instrText>
            </w:r>
            <w:r w:rsidR="004C0B5B">
              <w:rPr>
                <w:noProof/>
                <w:webHidden/>
              </w:rPr>
            </w:r>
            <w:r w:rsidR="004C0B5B">
              <w:rPr>
                <w:noProof/>
                <w:webHidden/>
              </w:rPr>
              <w:fldChar w:fldCharType="separate"/>
            </w:r>
            <w:r w:rsidR="004C0B5B">
              <w:rPr>
                <w:noProof/>
                <w:webHidden/>
              </w:rPr>
              <w:t>7</w:t>
            </w:r>
            <w:r w:rsidR="004C0B5B">
              <w:rPr>
                <w:noProof/>
                <w:webHidden/>
              </w:rPr>
              <w:fldChar w:fldCharType="end"/>
            </w:r>
          </w:hyperlink>
        </w:p>
        <w:p w14:paraId="7C2C6955" w14:textId="413A293D" w:rsidR="004C0B5B" w:rsidRDefault="005B287A">
          <w:pPr>
            <w:pStyle w:val="TOC2"/>
            <w:tabs>
              <w:tab w:val="right" w:leader="dot" w:pos="9062"/>
            </w:tabs>
            <w:rPr>
              <w:noProof/>
              <w:lang w:val="en-US" w:eastAsia="en-US"/>
            </w:rPr>
          </w:pPr>
          <w:hyperlink w:anchor="_Toc82520998" w:history="1">
            <w:r w:rsidR="004C0B5B" w:rsidRPr="00B16E3A">
              <w:rPr>
                <w:rStyle w:val="Hyperlink"/>
                <w:rFonts w:cstheme="minorHAnsi"/>
                <w:i/>
                <w:noProof/>
              </w:rPr>
              <w:t>Похарчени средства от държавния бюджет</w:t>
            </w:r>
            <w:r w:rsidR="004C0B5B">
              <w:rPr>
                <w:noProof/>
                <w:webHidden/>
              </w:rPr>
              <w:tab/>
            </w:r>
            <w:r w:rsidR="004C0B5B">
              <w:rPr>
                <w:noProof/>
                <w:webHidden/>
              </w:rPr>
              <w:fldChar w:fldCharType="begin"/>
            </w:r>
            <w:r w:rsidR="004C0B5B">
              <w:rPr>
                <w:noProof/>
                <w:webHidden/>
              </w:rPr>
              <w:instrText xml:space="preserve"> PAGEREF _Toc82520998 \h </w:instrText>
            </w:r>
            <w:r w:rsidR="004C0B5B">
              <w:rPr>
                <w:noProof/>
                <w:webHidden/>
              </w:rPr>
            </w:r>
            <w:r w:rsidR="004C0B5B">
              <w:rPr>
                <w:noProof/>
                <w:webHidden/>
              </w:rPr>
              <w:fldChar w:fldCharType="separate"/>
            </w:r>
            <w:r w:rsidR="004C0B5B">
              <w:rPr>
                <w:noProof/>
                <w:webHidden/>
              </w:rPr>
              <w:t>8</w:t>
            </w:r>
            <w:r w:rsidR="004C0B5B">
              <w:rPr>
                <w:noProof/>
                <w:webHidden/>
              </w:rPr>
              <w:fldChar w:fldCharType="end"/>
            </w:r>
          </w:hyperlink>
        </w:p>
        <w:p w14:paraId="4ED1D45E" w14:textId="132A3474" w:rsidR="004C0B5B" w:rsidRDefault="005B287A">
          <w:pPr>
            <w:pStyle w:val="TOC1"/>
            <w:tabs>
              <w:tab w:val="right" w:leader="dot" w:pos="9062"/>
            </w:tabs>
            <w:rPr>
              <w:noProof/>
              <w:lang w:val="en-US" w:eastAsia="en-US"/>
            </w:rPr>
          </w:pPr>
          <w:hyperlink w:anchor="_Toc82520999" w:history="1">
            <w:r w:rsidR="004C0B5B" w:rsidRPr="00B16E3A">
              <w:rPr>
                <w:rStyle w:val="Hyperlink"/>
                <w:noProof/>
              </w:rPr>
              <w:t>Успехите и провалите на българската администрация</w:t>
            </w:r>
            <w:r w:rsidR="004C0B5B">
              <w:rPr>
                <w:noProof/>
                <w:webHidden/>
              </w:rPr>
              <w:tab/>
            </w:r>
            <w:r w:rsidR="004C0B5B">
              <w:rPr>
                <w:noProof/>
                <w:webHidden/>
              </w:rPr>
              <w:fldChar w:fldCharType="begin"/>
            </w:r>
            <w:r w:rsidR="004C0B5B">
              <w:rPr>
                <w:noProof/>
                <w:webHidden/>
              </w:rPr>
              <w:instrText xml:space="preserve"> PAGEREF _Toc82520999 \h </w:instrText>
            </w:r>
            <w:r w:rsidR="004C0B5B">
              <w:rPr>
                <w:noProof/>
                <w:webHidden/>
              </w:rPr>
            </w:r>
            <w:r w:rsidR="004C0B5B">
              <w:rPr>
                <w:noProof/>
                <w:webHidden/>
              </w:rPr>
              <w:fldChar w:fldCharType="separate"/>
            </w:r>
            <w:r w:rsidR="004C0B5B">
              <w:rPr>
                <w:noProof/>
                <w:webHidden/>
              </w:rPr>
              <w:t>9</w:t>
            </w:r>
            <w:r w:rsidR="004C0B5B">
              <w:rPr>
                <w:noProof/>
                <w:webHidden/>
              </w:rPr>
              <w:fldChar w:fldCharType="end"/>
            </w:r>
          </w:hyperlink>
        </w:p>
        <w:p w14:paraId="62CD08F7" w14:textId="3DCC4615" w:rsidR="004C0B5B" w:rsidRDefault="005B287A">
          <w:pPr>
            <w:pStyle w:val="TOC2"/>
            <w:tabs>
              <w:tab w:val="right" w:leader="dot" w:pos="9062"/>
            </w:tabs>
            <w:rPr>
              <w:noProof/>
              <w:lang w:val="en-US" w:eastAsia="en-US"/>
            </w:rPr>
          </w:pPr>
          <w:hyperlink w:anchor="_Toc82521000" w:history="1">
            <w:r w:rsidR="004C0B5B" w:rsidRPr="00B16E3A">
              <w:rPr>
                <w:rStyle w:val="Hyperlink"/>
                <w:noProof/>
              </w:rPr>
              <w:t>Успехите през годините</w:t>
            </w:r>
            <w:r w:rsidR="004C0B5B">
              <w:rPr>
                <w:noProof/>
                <w:webHidden/>
              </w:rPr>
              <w:tab/>
            </w:r>
            <w:r w:rsidR="004C0B5B">
              <w:rPr>
                <w:noProof/>
                <w:webHidden/>
              </w:rPr>
              <w:fldChar w:fldCharType="begin"/>
            </w:r>
            <w:r w:rsidR="004C0B5B">
              <w:rPr>
                <w:noProof/>
                <w:webHidden/>
              </w:rPr>
              <w:instrText xml:space="preserve"> PAGEREF _Toc82521000 \h </w:instrText>
            </w:r>
            <w:r w:rsidR="004C0B5B">
              <w:rPr>
                <w:noProof/>
                <w:webHidden/>
              </w:rPr>
            </w:r>
            <w:r w:rsidR="004C0B5B">
              <w:rPr>
                <w:noProof/>
                <w:webHidden/>
              </w:rPr>
              <w:fldChar w:fldCharType="separate"/>
            </w:r>
            <w:r w:rsidR="004C0B5B">
              <w:rPr>
                <w:noProof/>
                <w:webHidden/>
              </w:rPr>
              <w:t>12</w:t>
            </w:r>
            <w:r w:rsidR="004C0B5B">
              <w:rPr>
                <w:noProof/>
                <w:webHidden/>
              </w:rPr>
              <w:fldChar w:fldCharType="end"/>
            </w:r>
          </w:hyperlink>
        </w:p>
        <w:p w14:paraId="6EDDDE5E" w14:textId="75C2E8F5" w:rsidR="004C0B5B" w:rsidRDefault="005B287A">
          <w:pPr>
            <w:pStyle w:val="TOC2"/>
            <w:tabs>
              <w:tab w:val="right" w:leader="dot" w:pos="9062"/>
            </w:tabs>
            <w:rPr>
              <w:noProof/>
              <w:lang w:val="en-US" w:eastAsia="en-US"/>
            </w:rPr>
          </w:pPr>
          <w:hyperlink w:anchor="_Toc82521001" w:history="1">
            <w:r w:rsidR="004C0B5B" w:rsidRPr="00B16E3A">
              <w:rPr>
                <w:rStyle w:val="Hyperlink"/>
                <w:rFonts w:cstheme="minorHAnsi"/>
                <w:noProof/>
              </w:rPr>
              <w:t>Провалите през годините</w:t>
            </w:r>
            <w:r w:rsidR="004C0B5B">
              <w:rPr>
                <w:noProof/>
                <w:webHidden/>
              </w:rPr>
              <w:tab/>
            </w:r>
            <w:r w:rsidR="004C0B5B">
              <w:rPr>
                <w:noProof/>
                <w:webHidden/>
              </w:rPr>
              <w:fldChar w:fldCharType="begin"/>
            </w:r>
            <w:r w:rsidR="004C0B5B">
              <w:rPr>
                <w:noProof/>
                <w:webHidden/>
              </w:rPr>
              <w:instrText xml:space="preserve"> PAGEREF _Toc82521001 \h </w:instrText>
            </w:r>
            <w:r w:rsidR="004C0B5B">
              <w:rPr>
                <w:noProof/>
                <w:webHidden/>
              </w:rPr>
            </w:r>
            <w:r w:rsidR="004C0B5B">
              <w:rPr>
                <w:noProof/>
                <w:webHidden/>
              </w:rPr>
              <w:fldChar w:fldCharType="separate"/>
            </w:r>
            <w:r w:rsidR="004C0B5B">
              <w:rPr>
                <w:noProof/>
                <w:webHidden/>
              </w:rPr>
              <w:t>15</w:t>
            </w:r>
            <w:r w:rsidR="004C0B5B">
              <w:rPr>
                <w:noProof/>
                <w:webHidden/>
              </w:rPr>
              <w:fldChar w:fldCharType="end"/>
            </w:r>
          </w:hyperlink>
        </w:p>
        <w:p w14:paraId="704B5D3A" w14:textId="5AB09164" w:rsidR="0070126D" w:rsidRPr="00950C07" w:rsidRDefault="00423E7B" w:rsidP="00CD13DC">
          <w:pPr>
            <w:spacing w:before="120" w:after="0" w:line="240" w:lineRule="auto"/>
            <w:rPr>
              <w:rFonts w:cstheme="minorHAnsi"/>
            </w:rPr>
          </w:pPr>
          <w:r w:rsidRPr="00950C07">
            <w:rPr>
              <w:rFonts w:cstheme="minorHAnsi"/>
              <w:sz w:val="24"/>
              <w:szCs w:val="24"/>
            </w:rPr>
            <w:fldChar w:fldCharType="end"/>
          </w:r>
        </w:p>
      </w:sdtContent>
    </w:sdt>
    <w:p w14:paraId="16446632" w14:textId="77777777" w:rsidR="007E3228" w:rsidRPr="00950C07" w:rsidRDefault="007E3228" w:rsidP="00CD13DC">
      <w:pPr>
        <w:spacing w:before="120" w:after="0" w:line="240" w:lineRule="auto"/>
        <w:rPr>
          <w:rFonts w:eastAsia="Times New Roman" w:cstheme="minorHAnsi"/>
          <w:b/>
          <w:sz w:val="28"/>
          <w:szCs w:val="20"/>
          <w:lang w:eastAsia="en-US"/>
        </w:rPr>
      </w:pPr>
      <w:r w:rsidRPr="00950C07">
        <w:rPr>
          <w:rFonts w:cstheme="minorHAnsi"/>
        </w:rPr>
        <w:br w:type="page"/>
      </w:r>
    </w:p>
    <w:p w14:paraId="591143D6" w14:textId="77777777" w:rsidR="00806D8A" w:rsidRPr="008861B6" w:rsidRDefault="007E3228" w:rsidP="00CD13DC">
      <w:pPr>
        <w:pStyle w:val="Heading1"/>
        <w:shd w:val="clear" w:color="auto" w:fill="808080" w:themeFill="background1" w:themeFillShade="80"/>
        <w:spacing w:before="120"/>
        <w:rPr>
          <w:rFonts w:asciiTheme="minorHAnsi" w:hAnsiTheme="minorHAnsi" w:cstheme="minorHAnsi"/>
          <w:color w:val="FFFFFF" w:themeColor="background1"/>
        </w:rPr>
      </w:pPr>
      <w:bookmarkStart w:id="1" w:name="_Toc82520994"/>
      <w:r w:rsidRPr="008861B6">
        <w:rPr>
          <w:rFonts w:asciiTheme="minorHAnsi" w:hAnsiTheme="minorHAnsi" w:cstheme="minorHAnsi"/>
          <w:color w:val="FFFFFF" w:themeColor="background1"/>
        </w:rPr>
        <w:lastRenderedPageBreak/>
        <w:t>Резюме</w:t>
      </w:r>
      <w:bookmarkEnd w:id="1"/>
    </w:p>
    <w:p w14:paraId="06644103" w14:textId="396251C5" w:rsidR="00806D8A" w:rsidRPr="003A6843" w:rsidRDefault="00F01289" w:rsidP="00CD13DC">
      <w:pPr>
        <w:spacing w:before="120" w:after="0" w:line="240" w:lineRule="auto"/>
        <w:jc w:val="both"/>
        <w:rPr>
          <w:rFonts w:cstheme="minorHAnsi"/>
        </w:rPr>
      </w:pPr>
      <w:r w:rsidRPr="003A6843">
        <w:rPr>
          <w:rFonts w:cstheme="minorHAnsi"/>
        </w:rPr>
        <w:t>Изследването „Успехите и провалите на б</w:t>
      </w:r>
      <w:r w:rsidR="00AC6AA4">
        <w:rPr>
          <w:rFonts w:cstheme="minorHAnsi"/>
        </w:rPr>
        <w:t>ългарските правителства 1998-20</w:t>
      </w:r>
      <w:r w:rsidR="00687D81">
        <w:rPr>
          <w:rFonts w:cstheme="minorHAnsi"/>
        </w:rPr>
        <w:t>20</w:t>
      </w:r>
      <w:r w:rsidRPr="003A6843">
        <w:rPr>
          <w:rFonts w:cstheme="minorHAnsi"/>
        </w:rPr>
        <w:t>” анализира работата на централната администрация посредством одитни</w:t>
      </w:r>
      <w:r w:rsidR="00E23E5D" w:rsidRPr="003A6843">
        <w:rPr>
          <w:rFonts w:cstheme="minorHAnsi"/>
        </w:rPr>
        <w:t>те доклади на Сметната палата</w:t>
      </w:r>
      <w:r w:rsidRPr="003A6843">
        <w:rPr>
          <w:rFonts w:cstheme="minorHAnsi"/>
        </w:rPr>
        <w:t>.</w:t>
      </w:r>
    </w:p>
    <w:p w14:paraId="4F1EC284" w14:textId="6E592F25" w:rsidR="00D12AC0" w:rsidRPr="003A6843" w:rsidRDefault="00F01289" w:rsidP="00CD13DC">
      <w:pPr>
        <w:autoSpaceDE w:val="0"/>
        <w:autoSpaceDN w:val="0"/>
        <w:adjustRightInd w:val="0"/>
        <w:spacing w:before="120" w:after="0" w:line="240" w:lineRule="auto"/>
        <w:jc w:val="both"/>
        <w:rPr>
          <w:rFonts w:cstheme="minorHAnsi"/>
        </w:rPr>
      </w:pPr>
      <w:r w:rsidRPr="003A6843">
        <w:rPr>
          <w:rFonts w:cstheme="minorHAnsi"/>
        </w:rPr>
        <w:t xml:space="preserve">Настоящото издание е </w:t>
      </w:r>
      <w:r w:rsidR="004954FA">
        <w:rPr>
          <w:rFonts w:cstheme="minorHAnsi"/>
        </w:rPr>
        <w:t>седмо</w:t>
      </w:r>
      <w:r w:rsidRPr="003A6843">
        <w:rPr>
          <w:rFonts w:cstheme="minorHAnsi"/>
        </w:rPr>
        <w:t xml:space="preserve"> поред и допълва предишните издания с прегледа и групирането на </w:t>
      </w:r>
      <w:r w:rsidRPr="003A6843">
        <w:rPr>
          <w:rFonts w:cstheme="minorHAnsi"/>
          <w:b/>
        </w:rPr>
        <w:t xml:space="preserve">нови </w:t>
      </w:r>
      <w:r w:rsidR="00D722E5" w:rsidRPr="003A6843">
        <w:rPr>
          <w:rFonts w:cstheme="minorHAnsi"/>
          <w:b/>
        </w:rPr>
        <w:t>6</w:t>
      </w:r>
      <w:r w:rsidR="00AC6AA4">
        <w:rPr>
          <w:rFonts w:cstheme="minorHAnsi"/>
          <w:b/>
        </w:rPr>
        <w:t>9</w:t>
      </w:r>
      <w:r w:rsidRPr="003A6843">
        <w:rPr>
          <w:rFonts w:cstheme="minorHAnsi"/>
          <w:b/>
        </w:rPr>
        <w:t xml:space="preserve"> одитни доклада</w:t>
      </w:r>
      <w:r w:rsidRPr="003A6843">
        <w:rPr>
          <w:rFonts w:cstheme="minorHAnsi"/>
        </w:rPr>
        <w:t>. Така изследването обхваща всички публикувани одитни д</w:t>
      </w:r>
      <w:r w:rsidR="00D159A2" w:rsidRPr="003A6843">
        <w:rPr>
          <w:rFonts w:cstheme="minorHAnsi"/>
        </w:rPr>
        <w:t>оклади</w:t>
      </w:r>
      <w:r w:rsidR="00DF1C22" w:rsidRPr="003A6843">
        <w:rPr>
          <w:rFonts w:cstheme="minorHAnsi"/>
        </w:rPr>
        <w:t xml:space="preserve"> за </w:t>
      </w:r>
      <w:r w:rsidR="002B7DD7" w:rsidRPr="003A6843">
        <w:rPr>
          <w:rFonts w:cstheme="minorHAnsi"/>
        </w:rPr>
        <w:t xml:space="preserve">дейността на </w:t>
      </w:r>
      <w:r w:rsidR="00DF1C22" w:rsidRPr="003A6843">
        <w:rPr>
          <w:rFonts w:cstheme="minorHAnsi"/>
        </w:rPr>
        <w:t>централната администрация</w:t>
      </w:r>
      <w:r w:rsidR="00D159A2" w:rsidRPr="003A6843">
        <w:rPr>
          <w:rFonts w:cstheme="minorHAnsi"/>
        </w:rPr>
        <w:t xml:space="preserve"> до </w:t>
      </w:r>
      <w:r w:rsidR="00AC6AA4">
        <w:rPr>
          <w:rFonts w:cstheme="minorHAnsi"/>
        </w:rPr>
        <w:t>30 юни 2021 година.</w:t>
      </w:r>
    </w:p>
    <w:p w14:paraId="6A192528" w14:textId="22C1DC51" w:rsidR="00F01289" w:rsidRPr="003A6843" w:rsidRDefault="00E23E5D" w:rsidP="00CD13DC">
      <w:pPr>
        <w:autoSpaceDE w:val="0"/>
        <w:autoSpaceDN w:val="0"/>
        <w:adjustRightInd w:val="0"/>
        <w:spacing w:before="120" w:after="0" w:line="240" w:lineRule="auto"/>
        <w:jc w:val="both"/>
        <w:rPr>
          <w:rFonts w:cstheme="minorHAnsi"/>
        </w:rPr>
      </w:pPr>
      <w:r w:rsidRPr="003A6843">
        <w:rPr>
          <w:rFonts w:cstheme="minorHAnsi"/>
        </w:rPr>
        <w:t>Р</w:t>
      </w:r>
      <w:r w:rsidR="00F01289" w:rsidRPr="003A6843">
        <w:rPr>
          <w:rFonts w:cstheme="minorHAnsi"/>
        </w:rPr>
        <w:t xml:space="preserve">азгледаните доклади стават общо </w:t>
      </w:r>
      <w:r w:rsidR="00AC6AA4">
        <w:rPr>
          <w:rFonts w:cstheme="minorHAnsi"/>
        </w:rPr>
        <w:t>1035</w:t>
      </w:r>
      <w:r w:rsidR="00F01289" w:rsidRPr="003A6843">
        <w:rPr>
          <w:rFonts w:cstheme="minorHAnsi"/>
        </w:rPr>
        <w:t xml:space="preserve">, обхващат </w:t>
      </w:r>
      <w:r w:rsidR="00D722E5" w:rsidRPr="003A6843">
        <w:rPr>
          <w:rFonts w:cstheme="minorHAnsi"/>
        </w:rPr>
        <w:t>2</w:t>
      </w:r>
      <w:r w:rsidR="00687D81">
        <w:rPr>
          <w:rFonts w:cstheme="minorHAnsi"/>
        </w:rPr>
        <w:t>3</w:t>
      </w:r>
      <w:r w:rsidR="00D722E5" w:rsidRPr="003A6843">
        <w:rPr>
          <w:rFonts w:cstheme="minorHAnsi"/>
        </w:rPr>
        <w:t xml:space="preserve"> </w:t>
      </w:r>
      <w:r w:rsidR="00F01289" w:rsidRPr="003A6843">
        <w:rPr>
          <w:rFonts w:cstheme="minorHAnsi"/>
        </w:rPr>
        <w:t xml:space="preserve">години от работата на администрацията (от 1998 до </w:t>
      </w:r>
      <w:r w:rsidR="00687D81">
        <w:rPr>
          <w:rFonts w:cstheme="minorHAnsi"/>
        </w:rPr>
        <w:t>2020</w:t>
      </w:r>
      <w:r w:rsidR="00D722E5" w:rsidRPr="003A6843">
        <w:rPr>
          <w:rFonts w:cstheme="minorHAnsi"/>
        </w:rPr>
        <w:t xml:space="preserve"> </w:t>
      </w:r>
      <w:r w:rsidR="00F01289" w:rsidRPr="003A6843">
        <w:rPr>
          <w:rFonts w:cstheme="minorHAnsi"/>
        </w:rPr>
        <w:t xml:space="preserve">г.) и </w:t>
      </w:r>
      <w:r w:rsidR="000D797D" w:rsidRPr="003A6843">
        <w:rPr>
          <w:rFonts w:cstheme="minorHAnsi"/>
        </w:rPr>
        <w:t xml:space="preserve">включват </w:t>
      </w:r>
      <w:r w:rsidR="00DE6EF6" w:rsidRPr="003A6843">
        <w:rPr>
          <w:rFonts w:cstheme="minorHAnsi"/>
        </w:rPr>
        <w:t>разходи за</w:t>
      </w:r>
      <w:r w:rsidR="000B767C" w:rsidRPr="003A6843">
        <w:rPr>
          <w:rFonts w:cstheme="minorHAnsi"/>
        </w:rPr>
        <w:t xml:space="preserve"> </w:t>
      </w:r>
      <w:r w:rsidR="00C55B1B">
        <w:rPr>
          <w:rFonts w:cstheme="minorHAnsi"/>
        </w:rPr>
        <w:t>близо 156</w:t>
      </w:r>
      <w:r w:rsidR="005673D7" w:rsidRPr="003A6843">
        <w:rPr>
          <w:rFonts w:cstheme="minorHAnsi"/>
        </w:rPr>
        <w:t xml:space="preserve"> </w:t>
      </w:r>
      <w:r w:rsidR="00D159A2" w:rsidRPr="003A6843">
        <w:rPr>
          <w:rFonts w:cstheme="minorHAnsi"/>
        </w:rPr>
        <w:t>млрд. лв. публични средства.</w:t>
      </w:r>
      <w:r w:rsidR="00F01289" w:rsidRPr="003A6843">
        <w:rPr>
          <w:rFonts w:cstheme="minorHAnsi"/>
        </w:rPr>
        <w:t xml:space="preserve"> </w:t>
      </w:r>
    </w:p>
    <w:p w14:paraId="6C60E0BB" w14:textId="07C7AAEF" w:rsidR="00A635CF" w:rsidRDefault="009852AA" w:rsidP="00CD13DC">
      <w:pPr>
        <w:spacing w:before="120" w:after="0" w:line="240" w:lineRule="auto"/>
        <w:jc w:val="both"/>
        <w:rPr>
          <w:rFonts w:cstheme="minorHAnsi"/>
        </w:rPr>
      </w:pPr>
      <w:r w:rsidRPr="003A6843">
        <w:rPr>
          <w:rFonts w:cstheme="minorHAnsi"/>
        </w:rPr>
        <w:t xml:space="preserve">На базата на поставените оценки от одитните доклади и предварително </w:t>
      </w:r>
      <w:r w:rsidR="002B7DD7" w:rsidRPr="003A6843">
        <w:rPr>
          <w:rFonts w:cstheme="minorHAnsi"/>
        </w:rPr>
        <w:t xml:space="preserve">избрани </w:t>
      </w:r>
      <w:r w:rsidR="000145DD" w:rsidRPr="003A6843">
        <w:rPr>
          <w:rFonts w:cstheme="minorHAnsi"/>
        </w:rPr>
        <w:t>критерии</w:t>
      </w:r>
      <w:r w:rsidRPr="003A6843">
        <w:rPr>
          <w:rFonts w:cstheme="minorHAnsi"/>
        </w:rPr>
        <w:t xml:space="preserve"> </w:t>
      </w:r>
      <w:r w:rsidR="00DE6EF6" w:rsidRPr="003A6843">
        <w:rPr>
          <w:rFonts w:cstheme="minorHAnsi"/>
        </w:rPr>
        <w:t xml:space="preserve">квалифицираме </w:t>
      </w:r>
      <w:r w:rsidRPr="003A6843">
        <w:rPr>
          <w:rFonts w:cstheme="minorHAnsi"/>
        </w:rPr>
        <w:t xml:space="preserve">работата на администрацията </w:t>
      </w:r>
      <w:r w:rsidR="000145DD" w:rsidRPr="003A6843">
        <w:rPr>
          <w:rFonts w:cstheme="minorHAnsi"/>
        </w:rPr>
        <w:t>като</w:t>
      </w:r>
      <w:r w:rsidRPr="003A6843">
        <w:rPr>
          <w:rFonts w:cstheme="minorHAnsi"/>
        </w:rPr>
        <w:t xml:space="preserve"> „успех” </w:t>
      </w:r>
      <w:r w:rsidR="00F3558A" w:rsidRPr="003A6843">
        <w:rPr>
          <w:rFonts w:cstheme="minorHAnsi"/>
        </w:rPr>
        <w:t>или</w:t>
      </w:r>
      <w:r w:rsidRPr="003A6843">
        <w:rPr>
          <w:rFonts w:cstheme="minorHAnsi"/>
        </w:rPr>
        <w:t xml:space="preserve"> „провал”. Дейностите, чието изпълнение и резултати не позволяват да се причислят към една от двете групи, са определени като „некласифицирани”. </w:t>
      </w:r>
    </w:p>
    <w:p w14:paraId="38E6F298" w14:textId="3622B404" w:rsidR="009852AA" w:rsidRPr="003A6843" w:rsidRDefault="00D159A2" w:rsidP="00CD13DC">
      <w:pPr>
        <w:autoSpaceDE w:val="0"/>
        <w:autoSpaceDN w:val="0"/>
        <w:adjustRightInd w:val="0"/>
        <w:spacing w:before="120" w:after="0" w:line="240" w:lineRule="auto"/>
        <w:jc w:val="both"/>
        <w:rPr>
          <w:rFonts w:cstheme="minorHAnsi"/>
        </w:rPr>
      </w:pPr>
      <w:r w:rsidRPr="003A6843">
        <w:rPr>
          <w:rFonts w:cstheme="minorHAnsi"/>
        </w:rPr>
        <w:t xml:space="preserve">Цялостната картина за работата на администрацията </w:t>
      </w:r>
      <w:r w:rsidR="008E645E" w:rsidRPr="003A6843">
        <w:rPr>
          <w:rFonts w:cstheme="minorHAnsi"/>
        </w:rPr>
        <w:t>от всички</w:t>
      </w:r>
      <w:r w:rsidRPr="003A6843">
        <w:rPr>
          <w:rFonts w:cstheme="minorHAnsi"/>
        </w:rPr>
        <w:t xml:space="preserve"> </w:t>
      </w:r>
      <w:r w:rsidR="00AD4787">
        <w:rPr>
          <w:rFonts w:cstheme="minorHAnsi"/>
        </w:rPr>
        <w:t>1035</w:t>
      </w:r>
      <w:r w:rsidRPr="003A6843">
        <w:rPr>
          <w:rFonts w:cstheme="minorHAnsi"/>
        </w:rPr>
        <w:t xml:space="preserve"> одитни доклада изглежда така: </w:t>
      </w:r>
    </w:p>
    <w:p w14:paraId="0EF587EA" w14:textId="5C0D78F9" w:rsidR="009852AA" w:rsidRPr="003A6843" w:rsidRDefault="00AD4787"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4</w:t>
      </w:r>
      <w:r w:rsidR="00EA0483" w:rsidRPr="003A6843">
        <w:rPr>
          <w:rFonts w:cstheme="minorHAnsi"/>
          <w:b/>
        </w:rPr>
        <w:t>3</w:t>
      </w:r>
      <w:r>
        <w:rPr>
          <w:rFonts w:cstheme="minorHAnsi"/>
          <w:b/>
        </w:rPr>
        <w:t>8</w:t>
      </w:r>
      <w:r w:rsidR="009852AA" w:rsidRPr="003A6843">
        <w:rPr>
          <w:rFonts w:cstheme="minorHAnsi"/>
          <w:b/>
        </w:rPr>
        <w:t xml:space="preserve"> случая на „</w:t>
      </w:r>
      <w:r w:rsidR="009852AA" w:rsidRPr="008861B6">
        <w:rPr>
          <w:rFonts w:cstheme="minorHAnsi"/>
          <w:b/>
          <w:color w:val="C0504D" w:themeColor="accent2"/>
        </w:rPr>
        <w:t>провал</w:t>
      </w:r>
      <w:r w:rsidR="009852AA" w:rsidRPr="003A6843">
        <w:rPr>
          <w:rFonts w:cstheme="minorHAnsi"/>
          <w:b/>
        </w:rPr>
        <w:t>”</w:t>
      </w:r>
      <w:r w:rsidR="009852AA" w:rsidRPr="003A6843">
        <w:rPr>
          <w:rFonts w:cstheme="minorHAnsi"/>
        </w:rPr>
        <w:t xml:space="preserve"> (възлизащи на </w:t>
      </w:r>
      <w:r w:rsidR="00EF5604">
        <w:rPr>
          <w:rFonts w:cstheme="minorHAnsi"/>
          <w:b/>
        </w:rPr>
        <w:t>82,6</w:t>
      </w:r>
      <w:r w:rsidR="009852AA" w:rsidRPr="003A6843">
        <w:rPr>
          <w:rFonts w:cstheme="minorHAnsi"/>
          <w:b/>
        </w:rPr>
        <w:t xml:space="preserve"> млрд. лв.</w:t>
      </w:r>
      <w:r w:rsidR="009852AA" w:rsidRPr="003A6843">
        <w:rPr>
          <w:rFonts w:cstheme="minorHAnsi"/>
        </w:rPr>
        <w:t>)</w:t>
      </w:r>
    </w:p>
    <w:p w14:paraId="7C6BD58D" w14:textId="6823B88F" w:rsidR="009852AA" w:rsidRPr="003A6843" w:rsidRDefault="00AD4787"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257</w:t>
      </w:r>
      <w:r w:rsidR="009852AA" w:rsidRPr="003A6843">
        <w:rPr>
          <w:rFonts w:cstheme="minorHAnsi"/>
          <w:b/>
        </w:rPr>
        <w:t xml:space="preserve"> случая на „</w:t>
      </w:r>
      <w:r w:rsidR="009852AA" w:rsidRPr="0012269D">
        <w:rPr>
          <w:rFonts w:cstheme="minorHAnsi"/>
          <w:b/>
          <w:color w:val="69A12B"/>
        </w:rPr>
        <w:t>успех</w:t>
      </w:r>
      <w:r w:rsidR="009852AA" w:rsidRPr="003A6843">
        <w:rPr>
          <w:rFonts w:cstheme="minorHAnsi"/>
          <w:b/>
        </w:rPr>
        <w:t>”</w:t>
      </w:r>
      <w:r w:rsidR="009852AA" w:rsidRPr="003A6843">
        <w:rPr>
          <w:rFonts w:cstheme="minorHAnsi"/>
        </w:rPr>
        <w:t xml:space="preserve"> (възлизащи на </w:t>
      </w:r>
      <w:r w:rsidR="00EA0483" w:rsidRPr="003A6843">
        <w:rPr>
          <w:rFonts w:cstheme="minorHAnsi"/>
          <w:b/>
        </w:rPr>
        <w:t>3</w:t>
      </w:r>
      <w:r>
        <w:rPr>
          <w:rFonts w:cstheme="minorHAnsi"/>
          <w:b/>
        </w:rPr>
        <w:t>5,3</w:t>
      </w:r>
      <w:r w:rsidR="009852AA" w:rsidRPr="003A6843">
        <w:rPr>
          <w:rFonts w:cstheme="minorHAnsi"/>
          <w:b/>
        </w:rPr>
        <w:t xml:space="preserve"> млрд. лв.</w:t>
      </w:r>
      <w:r w:rsidR="009852AA" w:rsidRPr="003A6843">
        <w:rPr>
          <w:rFonts w:cstheme="minorHAnsi"/>
        </w:rPr>
        <w:t>)</w:t>
      </w:r>
    </w:p>
    <w:p w14:paraId="283477E2" w14:textId="35C8E8DB" w:rsidR="00A635CF" w:rsidRPr="008861B6" w:rsidRDefault="00AD4787"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340</w:t>
      </w:r>
      <w:r w:rsidR="009852AA" w:rsidRPr="003A6843">
        <w:rPr>
          <w:rFonts w:cstheme="minorHAnsi"/>
          <w:b/>
        </w:rPr>
        <w:t xml:space="preserve"> „некласифицирани” случая</w:t>
      </w:r>
      <w:r w:rsidR="009852AA" w:rsidRPr="003A6843">
        <w:rPr>
          <w:rFonts w:cstheme="minorHAnsi"/>
        </w:rPr>
        <w:t xml:space="preserve"> (възлизащи на </w:t>
      </w:r>
      <w:r w:rsidR="009852AA" w:rsidRPr="003A6843">
        <w:rPr>
          <w:rFonts w:cstheme="minorHAnsi"/>
          <w:b/>
        </w:rPr>
        <w:t>3</w:t>
      </w:r>
      <w:r w:rsidR="00C55B1B">
        <w:rPr>
          <w:rFonts w:cstheme="minorHAnsi"/>
          <w:b/>
        </w:rPr>
        <w:t>7,8</w:t>
      </w:r>
      <w:r w:rsidR="009852AA" w:rsidRPr="003A6843">
        <w:rPr>
          <w:rFonts w:cstheme="minorHAnsi"/>
          <w:b/>
        </w:rPr>
        <w:t xml:space="preserve"> млрд. лв.</w:t>
      </w:r>
      <w:r w:rsidR="009852AA" w:rsidRPr="003A6843">
        <w:rPr>
          <w:rFonts w:cstheme="minorHAnsi"/>
        </w:rPr>
        <w:t>)</w:t>
      </w:r>
    </w:p>
    <w:p w14:paraId="4F9321B2" w14:textId="77777777" w:rsidR="00BF5D15" w:rsidRDefault="00BF5D15" w:rsidP="00CD13DC">
      <w:pPr>
        <w:autoSpaceDE w:val="0"/>
        <w:autoSpaceDN w:val="0"/>
        <w:adjustRightInd w:val="0"/>
        <w:spacing w:before="120" w:after="0" w:line="240" w:lineRule="auto"/>
        <w:jc w:val="both"/>
        <w:rPr>
          <w:rFonts w:cstheme="minorHAnsi"/>
          <w:b/>
        </w:rPr>
      </w:pPr>
    </w:p>
    <w:p w14:paraId="5CBD6951" w14:textId="62B186F4" w:rsidR="00D52939" w:rsidRPr="003A6843" w:rsidRDefault="00947EB2" w:rsidP="00CD13DC">
      <w:pPr>
        <w:autoSpaceDE w:val="0"/>
        <w:autoSpaceDN w:val="0"/>
        <w:adjustRightInd w:val="0"/>
        <w:spacing w:before="120" w:after="0" w:line="240" w:lineRule="auto"/>
        <w:jc w:val="both"/>
        <w:rPr>
          <w:rFonts w:cstheme="minorHAnsi"/>
        </w:rPr>
      </w:pPr>
      <w:r>
        <w:rPr>
          <w:rFonts w:cstheme="minorHAnsi"/>
          <w:b/>
        </w:rPr>
        <w:t>Близо</w:t>
      </w:r>
      <w:r w:rsidR="00F3558A" w:rsidRPr="003A6843">
        <w:rPr>
          <w:rFonts w:cstheme="minorHAnsi"/>
          <w:b/>
        </w:rPr>
        <w:t xml:space="preserve"> половината от </w:t>
      </w:r>
      <w:r w:rsidR="008706B5" w:rsidRPr="003A6843">
        <w:rPr>
          <w:rFonts w:cstheme="minorHAnsi"/>
          <w:b/>
        </w:rPr>
        <w:t>одитираните разходи</w:t>
      </w:r>
      <w:r w:rsidR="007B4F8E" w:rsidRPr="003A6843">
        <w:rPr>
          <w:rFonts w:cstheme="minorHAnsi"/>
          <w:b/>
        </w:rPr>
        <w:t>, извършени от централната администрация</w:t>
      </w:r>
      <w:r w:rsidR="008706B5" w:rsidRPr="003A6843">
        <w:rPr>
          <w:rFonts w:cstheme="minorHAnsi"/>
          <w:b/>
        </w:rPr>
        <w:t xml:space="preserve"> в периода 1998-</w:t>
      </w:r>
      <w:r w:rsidR="005673D7" w:rsidRPr="003A6843">
        <w:rPr>
          <w:rFonts w:cstheme="minorHAnsi"/>
          <w:b/>
        </w:rPr>
        <w:t>20</w:t>
      </w:r>
      <w:r w:rsidR="00382AAB">
        <w:rPr>
          <w:rFonts w:cstheme="minorHAnsi"/>
          <w:b/>
        </w:rPr>
        <w:t>20</w:t>
      </w:r>
      <w:r w:rsidR="005673D7" w:rsidRPr="003A6843">
        <w:rPr>
          <w:rFonts w:cstheme="minorHAnsi"/>
          <w:b/>
        </w:rPr>
        <w:t xml:space="preserve"> </w:t>
      </w:r>
      <w:r w:rsidR="008706B5" w:rsidRPr="003A6843">
        <w:rPr>
          <w:rFonts w:cstheme="minorHAnsi"/>
          <w:b/>
        </w:rPr>
        <w:t>г. могат да се определят като „провал”</w:t>
      </w:r>
      <w:r w:rsidR="00481D23" w:rsidRPr="003A6843">
        <w:rPr>
          <w:rFonts w:cstheme="minorHAnsi"/>
        </w:rPr>
        <w:t xml:space="preserve">. </w:t>
      </w:r>
    </w:p>
    <w:p w14:paraId="5DEB61DC" w14:textId="3209B53A" w:rsidR="00BF5D15" w:rsidRPr="008861B6" w:rsidRDefault="00481D23" w:rsidP="004C0B5B">
      <w:pPr>
        <w:autoSpaceDE w:val="0"/>
        <w:autoSpaceDN w:val="0"/>
        <w:adjustRightInd w:val="0"/>
        <w:spacing w:before="120" w:after="120" w:line="240" w:lineRule="auto"/>
        <w:jc w:val="both"/>
        <w:rPr>
          <w:rFonts w:cstheme="minorHAnsi"/>
        </w:rPr>
      </w:pPr>
      <w:r w:rsidRPr="003A6843">
        <w:rPr>
          <w:rFonts w:cstheme="minorHAnsi"/>
        </w:rPr>
        <w:t>О</w:t>
      </w:r>
      <w:r w:rsidR="008706B5" w:rsidRPr="003A6843">
        <w:rPr>
          <w:rFonts w:cstheme="minorHAnsi"/>
        </w:rPr>
        <w:t>коло</w:t>
      </w:r>
      <w:r w:rsidR="00B225E4" w:rsidRPr="003A6843">
        <w:rPr>
          <w:rFonts w:cstheme="minorHAnsi"/>
        </w:rPr>
        <w:t xml:space="preserve"> 1/</w:t>
      </w:r>
      <w:r w:rsidR="002B7DD7" w:rsidRPr="003A6843">
        <w:rPr>
          <w:rFonts w:cstheme="minorHAnsi"/>
        </w:rPr>
        <w:t>4</w:t>
      </w:r>
      <w:r w:rsidR="00B225E4" w:rsidRPr="003A6843">
        <w:rPr>
          <w:rFonts w:cstheme="minorHAnsi"/>
        </w:rPr>
        <w:t xml:space="preserve"> от </w:t>
      </w:r>
      <w:r w:rsidRPr="003A6843">
        <w:rPr>
          <w:rFonts w:cstheme="minorHAnsi"/>
        </w:rPr>
        <w:t xml:space="preserve">останалите средства са похарчени по-скоро успешно, а останалите </w:t>
      </w:r>
      <w:r w:rsidR="000145DD" w:rsidRPr="003A6843">
        <w:rPr>
          <w:rFonts w:cstheme="minorHAnsi"/>
        </w:rPr>
        <w:t>1/</w:t>
      </w:r>
      <w:r w:rsidR="002B7DD7" w:rsidRPr="003A6843">
        <w:rPr>
          <w:rFonts w:cstheme="minorHAnsi"/>
        </w:rPr>
        <w:t xml:space="preserve">4 </w:t>
      </w:r>
      <w:r w:rsidRPr="003A6843">
        <w:rPr>
          <w:rFonts w:cstheme="minorHAnsi"/>
        </w:rPr>
        <w:t xml:space="preserve">не могат да бъдат причислени към </w:t>
      </w:r>
      <w:r w:rsidR="00893097" w:rsidRPr="003A6843">
        <w:rPr>
          <w:rFonts w:cstheme="minorHAnsi"/>
        </w:rPr>
        <w:t xml:space="preserve">нито </w:t>
      </w:r>
      <w:r w:rsidRPr="003A6843">
        <w:rPr>
          <w:rFonts w:cstheme="minorHAnsi"/>
        </w:rPr>
        <w:t>едната от двете категории.</w:t>
      </w:r>
    </w:p>
    <w:tbl>
      <w:tblPr>
        <w:tblStyle w:val="TableGrid"/>
        <w:tblW w:w="923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500"/>
      </w:tblGrid>
      <w:tr w:rsidR="00EA0483" w:rsidRPr="00950C07" w14:paraId="7B7E5755" w14:textId="77777777" w:rsidTr="00AD4787">
        <w:trPr>
          <w:trHeight w:val="377"/>
        </w:trPr>
        <w:tc>
          <w:tcPr>
            <w:tcW w:w="9237" w:type="dxa"/>
            <w:gridSpan w:val="2"/>
            <w:shd w:val="clear" w:color="auto" w:fill="D9D9D9" w:themeFill="background1" w:themeFillShade="D9"/>
            <w:vAlign w:val="center"/>
          </w:tcPr>
          <w:p w14:paraId="7E8CAF3B" w14:textId="5C21BD28" w:rsidR="00C128EB" w:rsidRPr="00A635CF" w:rsidRDefault="009852AA"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
                <w:bCs/>
                <w:sz w:val="22"/>
                <w:szCs w:val="22"/>
              </w:rPr>
              <w:t xml:space="preserve">Класификация на всички </w:t>
            </w:r>
            <w:r w:rsidR="00AD4787">
              <w:rPr>
                <w:rFonts w:asciiTheme="minorHAnsi" w:hAnsiTheme="minorHAnsi" w:cstheme="minorHAnsi"/>
                <w:b/>
                <w:bCs/>
                <w:sz w:val="22"/>
                <w:szCs w:val="22"/>
              </w:rPr>
              <w:t>1035</w:t>
            </w:r>
            <w:r w:rsidR="007B2CA1" w:rsidRPr="00950C07">
              <w:rPr>
                <w:rFonts w:asciiTheme="minorHAnsi" w:hAnsiTheme="minorHAnsi" w:cstheme="minorHAnsi"/>
                <w:b/>
                <w:bCs/>
                <w:sz w:val="22"/>
                <w:szCs w:val="22"/>
              </w:rPr>
              <w:t xml:space="preserve"> </w:t>
            </w:r>
            <w:r w:rsidRPr="00950C07">
              <w:rPr>
                <w:rFonts w:asciiTheme="minorHAnsi" w:hAnsiTheme="minorHAnsi" w:cstheme="minorHAnsi"/>
                <w:b/>
                <w:bCs/>
                <w:sz w:val="22"/>
                <w:szCs w:val="22"/>
              </w:rPr>
              <w:t>одитни доклада</w:t>
            </w:r>
            <w:r w:rsidR="00A635CF">
              <w:rPr>
                <w:rFonts w:asciiTheme="minorHAnsi" w:hAnsiTheme="minorHAnsi" w:cstheme="minorHAnsi"/>
                <w:b/>
                <w:bCs/>
                <w:sz w:val="22"/>
                <w:szCs w:val="22"/>
                <w:lang w:val="en-GB"/>
              </w:rPr>
              <w:t xml:space="preserve"> </w:t>
            </w:r>
            <w:r w:rsidR="00A635CF">
              <w:rPr>
                <w:rFonts w:asciiTheme="minorHAnsi" w:hAnsiTheme="minorHAnsi" w:cstheme="minorHAnsi"/>
                <w:b/>
                <w:bCs/>
                <w:sz w:val="22"/>
                <w:szCs w:val="22"/>
              </w:rPr>
              <w:t>за 1998-20</w:t>
            </w:r>
            <w:r w:rsidR="00382AAB">
              <w:rPr>
                <w:rFonts w:asciiTheme="minorHAnsi" w:hAnsiTheme="minorHAnsi" w:cstheme="minorHAnsi"/>
                <w:b/>
                <w:bCs/>
                <w:sz w:val="22"/>
                <w:szCs w:val="22"/>
              </w:rPr>
              <w:t>20</w:t>
            </w:r>
            <w:r w:rsidR="00A635CF">
              <w:rPr>
                <w:rFonts w:asciiTheme="minorHAnsi" w:hAnsiTheme="minorHAnsi" w:cstheme="minorHAnsi"/>
                <w:b/>
                <w:bCs/>
                <w:sz w:val="22"/>
                <w:szCs w:val="22"/>
              </w:rPr>
              <w:t xml:space="preserve"> г.</w:t>
            </w:r>
          </w:p>
          <w:p w14:paraId="762B7041" w14:textId="77777777" w:rsidR="009852AA" w:rsidRPr="00950C07" w:rsidRDefault="00C128EB"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Cs/>
              </w:rPr>
              <w:t>(ИПИ по данни на Сметната палата)</w:t>
            </w:r>
          </w:p>
        </w:tc>
      </w:tr>
      <w:tr w:rsidR="0028168A" w:rsidRPr="00950C07" w14:paraId="658EF59D" w14:textId="77777777" w:rsidTr="00AD4787">
        <w:trPr>
          <w:trHeight w:val="377"/>
        </w:trPr>
        <w:tc>
          <w:tcPr>
            <w:tcW w:w="4737" w:type="dxa"/>
            <w:vAlign w:val="center"/>
          </w:tcPr>
          <w:p w14:paraId="38E96379" w14:textId="77777777" w:rsidR="009852AA" w:rsidRPr="00950C07" w:rsidRDefault="009852AA"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брой на разгледаните случаи</w:t>
            </w:r>
          </w:p>
        </w:tc>
        <w:tc>
          <w:tcPr>
            <w:tcW w:w="4500" w:type="dxa"/>
            <w:vAlign w:val="center"/>
          </w:tcPr>
          <w:p w14:paraId="6C99DBB7" w14:textId="77777777" w:rsidR="009852AA" w:rsidRPr="00950C07" w:rsidRDefault="009852AA"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размер на похарчените средства</w:t>
            </w:r>
          </w:p>
        </w:tc>
      </w:tr>
      <w:tr w:rsidR="0028168A" w:rsidRPr="00950C07" w14:paraId="7D3D515F" w14:textId="77777777" w:rsidTr="0064392E">
        <w:trPr>
          <w:trHeight w:val="3392"/>
        </w:trPr>
        <w:tc>
          <w:tcPr>
            <w:tcW w:w="4737" w:type="dxa"/>
            <w:vAlign w:val="center"/>
          </w:tcPr>
          <w:p w14:paraId="387164DF" w14:textId="4AF91F54" w:rsidR="009852AA" w:rsidRPr="00950C07" w:rsidRDefault="0064392E" w:rsidP="00CD13DC">
            <w:pPr>
              <w:autoSpaceDE w:val="0"/>
              <w:autoSpaceDN w:val="0"/>
              <w:adjustRightInd w:val="0"/>
              <w:spacing w:before="120"/>
              <w:jc w:val="center"/>
              <w:rPr>
                <w:rFonts w:asciiTheme="minorHAnsi" w:hAnsiTheme="minorHAnsi" w:cstheme="minorHAnsi"/>
                <w:bCs/>
              </w:rPr>
            </w:pPr>
            <w:r>
              <w:rPr>
                <w:noProof/>
                <w:lang w:val="en-US" w:eastAsia="en-US"/>
              </w:rPr>
              <w:drawing>
                <wp:inline distT="0" distB="0" distL="0" distR="0" wp14:anchorId="5233BB25" wp14:editId="44E7385A">
                  <wp:extent cx="2809875" cy="233997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00" w:type="dxa"/>
            <w:vAlign w:val="center"/>
          </w:tcPr>
          <w:p w14:paraId="71379ADF" w14:textId="084E89A5" w:rsidR="009852AA" w:rsidRPr="00950C07" w:rsidRDefault="0064392E" w:rsidP="00CD13DC">
            <w:pPr>
              <w:autoSpaceDE w:val="0"/>
              <w:autoSpaceDN w:val="0"/>
              <w:adjustRightInd w:val="0"/>
              <w:spacing w:before="120"/>
              <w:jc w:val="center"/>
              <w:rPr>
                <w:rFonts w:asciiTheme="minorHAnsi" w:hAnsiTheme="minorHAnsi" w:cstheme="minorHAnsi"/>
                <w:bCs/>
              </w:rPr>
            </w:pPr>
            <w:r>
              <w:rPr>
                <w:noProof/>
                <w:lang w:val="en-US" w:eastAsia="en-US"/>
              </w:rPr>
              <w:drawing>
                <wp:inline distT="0" distB="0" distL="0" distR="0" wp14:anchorId="480323E2" wp14:editId="105D8051">
                  <wp:extent cx="2762250" cy="233997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86ADD48" w14:textId="6593ED3D" w:rsidR="00C128EB" w:rsidRPr="00950C07" w:rsidRDefault="00C128EB" w:rsidP="00CD13DC">
      <w:pPr>
        <w:autoSpaceDE w:val="0"/>
        <w:autoSpaceDN w:val="0"/>
        <w:adjustRightInd w:val="0"/>
        <w:spacing w:before="120" w:after="0" w:line="240" w:lineRule="auto"/>
        <w:jc w:val="both"/>
        <w:rPr>
          <w:rFonts w:cstheme="minorHAnsi"/>
        </w:rPr>
      </w:pPr>
      <w:r w:rsidRPr="00950C07">
        <w:rPr>
          <w:rFonts w:cstheme="minorHAnsi"/>
        </w:rPr>
        <w:t xml:space="preserve">Прегледаните </w:t>
      </w:r>
      <w:r w:rsidR="00AD4787">
        <w:rPr>
          <w:rFonts w:cstheme="minorHAnsi"/>
        </w:rPr>
        <w:t>1035</w:t>
      </w:r>
      <w:r w:rsidR="005673D7" w:rsidRPr="00950C07">
        <w:rPr>
          <w:rFonts w:cstheme="minorHAnsi"/>
        </w:rPr>
        <w:t xml:space="preserve"> </w:t>
      </w:r>
      <w:r w:rsidRPr="00950C07">
        <w:rPr>
          <w:rFonts w:cstheme="minorHAnsi"/>
        </w:rPr>
        <w:t xml:space="preserve">одитни доклада и големият брой на „провалите” </w:t>
      </w:r>
      <w:r w:rsidR="000B767C">
        <w:rPr>
          <w:rFonts w:cstheme="minorHAnsi"/>
        </w:rPr>
        <w:t>показват</w:t>
      </w:r>
      <w:r w:rsidRPr="00950C07">
        <w:rPr>
          <w:rFonts w:cstheme="minorHAnsi"/>
        </w:rPr>
        <w:t xml:space="preserve"> нехайството на </w:t>
      </w:r>
      <w:r w:rsidR="000B767C">
        <w:rPr>
          <w:rFonts w:cstheme="minorHAnsi"/>
        </w:rPr>
        <w:t>администрацията</w:t>
      </w:r>
      <w:r w:rsidRPr="00950C07">
        <w:rPr>
          <w:rFonts w:cstheme="minorHAnsi"/>
        </w:rPr>
        <w:t xml:space="preserve"> към парите на данъкоплатците. В близо половината от одитираните програми, проекти и разходи държавата е лош стопанин и работи неефективно. В същото време иззем</w:t>
      </w:r>
      <w:r w:rsidR="00EA0483" w:rsidRPr="00950C07">
        <w:rPr>
          <w:rFonts w:cstheme="minorHAnsi"/>
        </w:rPr>
        <w:t>в</w:t>
      </w:r>
      <w:r w:rsidRPr="00950C07">
        <w:rPr>
          <w:rFonts w:cstheme="minorHAnsi"/>
        </w:rPr>
        <w:t>а и преразпределя огромен ресурс. В този смисъл колкото повече държавата харчи, толкова повече губят гражданите и бизнеса.</w:t>
      </w:r>
    </w:p>
    <w:p w14:paraId="0CD18148" w14:textId="77777777" w:rsidR="00734A0F" w:rsidRPr="00950C07" w:rsidRDefault="000145DD" w:rsidP="00CD13DC">
      <w:pPr>
        <w:autoSpaceDE w:val="0"/>
        <w:autoSpaceDN w:val="0"/>
        <w:adjustRightInd w:val="0"/>
        <w:spacing w:before="120" w:after="0" w:line="240" w:lineRule="auto"/>
        <w:jc w:val="both"/>
        <w:rPr>
          <w:rFonts w:cstheme="minorHAnsi"/>
        </w:rPr>
      </w:pPr>
      <w:r w:rsidRPr="00950C07">
        <w:rPr>
          <w:rFonts w:cstheme="minorHAnsi"/>
          <w:b/>
        </w:rPr>
        <w:lastRenderedPageBreak/>
        <w:t>О</w:t>
      </w:r>
      <w:r w:rsidR="00734A0F" w:rsidRPr="00950C07">
        <w:rPr>
          <w:rFonts w:cstheme="minorHAnsi"/>
          <w:b/>
        </w:rPr>
        <w:t>сновните слабости на администрацията не се променят значително през годините</w:t>
      </w:r>
      <w:r w:rsidR="00734A0F" w:rsidRPr="00950C07">
        <w:rPr>
          <w:rFonts w:cstheme="minorHAnsi"/>
        </w:rPr>
        <w:t xml:space="preserve">. В някои случаи </w:t>
      </w:r>
      <w:r w:rsidR="00C755AA" w:rsidRPr="00950C07">
        <w:rPr>
          <w:rFonts w:cstheme="minorHAnsi"/>
        </w:rPr>
        <w:t>„</w:t>
      </w:r>
      <w:r w:rsidR="00734A0F" w:rsidRPr="00950C07">
        <w:rPr>
          <w:rFonts w:cstheme="minorHAnsi"/>
        </w:rPr>
        <w:t>провалът” на администрацията е вследствие на недостатъчен административен капацитет (вкл. липса на експертиза и лошо управление), липса на средства</w:t>
      </w:r>
      <w:r w:rsidR="00734A0F" w:rsidRPr="00950C07">
        <w:rPr>
          <w:rFonts w:cstheme="minorHAnsi"/>
          <w:lang w:val="en-US"/>
        </w:rPr>
        <w:t xml:space="preserve"> </w:t>
      </w:r>
      <w:r w:rsidR="00734A0F" w:rsidRPr="00950C07">
        <w:rPr>
          <w:rFonts w:cstheme="minorHAnsi"/>
        </w:rPr>
        <w:t xml:space="preserve">и външни фактори. Много са и случаите обаче, в които се </w:t>
      </w:r>
      <w:r w:rsidR="00B5156E" w:rsidRPr="00950C07">
        <w:rPr>
          <w:rFonts w:cstheme="minorHAnsi"/>
        </w:rPr>
        <w:t>констатира</w:t>
      </w:r>
      <w:r w:rsidR="00734A0F" w:rsidRPr="00950C07">
        <w:rPr>
          <w:rFonts w:cstheme="minorHAnsi"/>
        </w:rPr>
        <w:t xml:space="preserve"> незаинтересованост към управлението на публичния ресурс или умишлени злоупотреби. Основните проявления на провала са в:</w:t>
      </w:r>
    </w:p>
    <w:p w14:paraId="5C59547D" w14:textId="77777777" w:rsidR="00734A0F" w:rsidRPr="00A003A1" w:rsidRDefault="00734A0F" w:rsidP="00CD13DC">
      <w:pPr>
        <w:pStyle w:val="ListParagraph"/>
        <w:numPr>
          <w:ilvl w:val="0"/>
          <w:numId w:val="16"/>
        </w:numPr>
        <w:autoSpaceDE w:val="0"/>
        <w:autoSpaceDN w:val="0"/>
        <w:adjustRightInd w:val="0"/>
        <w:spacing w:before="120" w:after="0" w:line="240" w:lineRule="auto"/>
        <w:ind w:left="714" w:hanging="357"/>
        <w:contextualSpacing w:val="0"/>
        <w:jc w:val="both"/>
        <w:rPr>
          <w:rFonts w:cstheme="minorHAnsi"/>
        </w:rPr>
      </w:pPr>
      <w:r w:rsidRPr="00A003A1">
        <w:rPr>
          <w:rFonts w:cstheme="minorHAnsi"/>
        </w:rPr>
        <w:t xml:space="preserve">Размиване на отговорностите при различни нива на изпълнение; </w:t>
      </w:r>
    </w:p>
    <w:p w14:paraId="6A0B1520" w14:textId="77777777" w:rsidR="00734A0F" w:rsidRPr="00A003A1" w:rsidRDefault="00734A0F" w:rsidP="00CD13DC">
      <w:pPr>
        <w:pStyle w:val="ListParagraph"/>
        <w:numPr>
          <w:ilvl w:val="0"/>
          <w:numId w:val="16"/>
        </w:numPr>
        <w:autoSpaceDE w:val="0"/>
        <w:autoSpaceDN w:val="0"/>
        <w:adjustRightInd w:val="0"/>
        <w:spacing w:before="120" w:after="0" w:line="240" w:lineRule="auto"/>
        <w:ind w:left="714" w:hanging="357"/>
        <w:contextualSpacing w:val="0"/>
        <w:jc w:val="both"/>
        <w:rPr>
          <w:rFonts w:cstheme="minorHAnsi"/>
        </w:rPr>
      </w:pPr>
      <w:r w:rsidRPr="00A003A1">
        <w:rPr>
          <w:rFonts w:cstheme="minorHAnsi"/>
        </w:rPr>
        <w:t xml:space="preserve">Опорочени обществени поръчки; </w:t>
      </w:r>
    </w:p>
    <w:p w14:paraId="46366509" w14:textId="77777777" w:rsidR="00734A0F" w:rsidRPr="00A003A1" w:rsidRDefault="00734A0F" w:rsidP="00CD13DC">
      <w:pPr>
        <w:pStyle w:val="ListParagraph"/>
        <w:numPr>
          <w:ilvl w:val="0"/>
          <w:numId w:val="16"/>
        </w:numPr>
        <w:autoSpaceDE w:val="0"/>
        <w:autoSpaceDN w:val="0"/>
        <w:adjustRightInd w:val="0"/>
        <w:spacing w:before="120" w:after="0" w:line="240" w:lineRule="auto"/>
        <w:ind w:left="714" w:hanging="357"/>
        <w:contextualSpacing w:val="0"/>
        <w:jc w:val="both"/>
        <w:rPr>
          <w:rFonts w:cstheme="minorHAnsi"/>
        </w:rPr>
      </w:pPr>
      <w:r w:rsidRPr="00A003A1">
        <w:rPr>
          <w:rFonts w:cstheme="minorHAnsi"/>
        </w:rPr>
        <w:t xml:space="preserve">Лошо управление на имуществото; </w:t>
      </w:r>
    </w:p>
    <w:p w14:paraId="2FCEE023" w14:textId="77777777" w:rsidR="00734A0F" w:rsidRPr="00A003A1" w:rsidRDefault="00734A0F" w:rsidP="00CD13DC">
      <w:pPr>
        <w:pStyle w:val="ListParagraph"/>
        <w:numPr>
          <w:ilvl w:val="0"/>
          <w:numId w:val="16"/>
        </w:numPr>
        <w:autoSpaceDE w:val="0"/>
        <w:autoSpaceDN w:val="0"/>
        <w:adjustRightInd w:val="0"/>
        <w:spacing w:before="120" w:after="0" w:line="240" w:lineRule="auto"/>
        <w:ind w:left="714" w:hanging="357"/>
        <w:contextualSpacing w:val="0"/>
        <w:jc w:val="both"/>
        <w:rPr>
          <w:rFonts w:cstheme="minorHAnsi"/>
        </w:rPr>
      </w:pPr>
      <w:r w:rsidRPr="00A003A1">
        <w:rPr>
          <w:rFonts w:cstheme="minorHAnsi"/>
        </w:rPr>
        <w:t xml:space="preserve">Липса на ясни цели и индикатори, показващи постигането </w:t>
      </w:r>
      <w:r w:rsidR="00C755AA" w:rsidRPr="00A003A1">
        <w:rPr>
          <w:rFonts w:cstheme="minorHAnsi"/>
        </w:rPr>
        <w:t>на резултати</w:t>
      </w:r>
      <w:r w:rsidRPr="00A003A1">
        <w:rPr>
          <w:rFonts w:cstheme="minorHAnsi"/>
        </w:rPr>
        <w:t xml:space="preserve">; </w:t>
      </w:r>
    </w:p>
    <w:p w14:paraId="2E797EB3" w14:textId="77777777" w:rsidR="00734A0F" w:rsidRPr="00A003A1" w:rsidRDefault="00734A0F" w:rsidP="00CD13DC">
      <w:pPr>
        <w:pStyle w:val="ListParagraph"/>
        <w:numPr>
          <w:ilvl w:val="0"/>
          <w:numId w:val="16"/>
        </w:numPr>
        <w:autoSpaceDE w:val="0"/>
        <w:autoSpaceDN w:val="0"/>
        <w:adjustRightInd w:val="0"/>
        <w:spacing w:before="120" w:after="0" w:line="240" w:lineRule="auto"/>
        <w:ind w:left="714" w:hanging="357"/>
        <w:contextualSpacing w:val="0"/>
        <w:jc w:val="both"/>
        <w:rPr>
          <w:rFonts w:cstheme="minorHAnsi"/>
        </w:rPr>
      </w:pPr>
      <w:r w:rsidRPr="00A003A1">
        <w:rPr>
          <w:rFonts w:cstheme="minorHAnsi"/>
        </w:rPr>
        <w:t xml:space="preserve">Неикономично харчене. </w:t>
      </w:r>
    </w:p>
    <w:p w14:paraId="0A237B84" w14:textId="75649DE8" w:rsidR="00D534A0" w:rsidRDefault="00734A0F" w:rsidP="00CD13DC">
      <w:pPr>
        <w:autoSpaceDE w:val="0"/>
        <w:autoSpaceDN w:val="0"/>
        <w:adjustRightInd w:val="0"/>
        <w:spacing w:before="120" w:after="0" w:line="240" w:lineRule="auto"/>
        <w:jc w:val="both"/>
        <w:rPr>
          <w:rFonts w:cstheme="minorHAnsi"/>
        </w:rPr>
      </w:pPr>
      <w:r w:rsidRPr="00950C07">
        <w:rPr>
          <w:rFonts w:cstheme="minorHAnsi"/>
        </w:rPr>
        <w:t xml:space="preserve">Важно </w:t>
      </w:r>
      <w:r w:rsidR="00304D1F">
        <w:rPr>
          <w:rFonts w:cstheme="minorHAnsi"/>
        </w:rPr>
        <w:t>е да уточ</w:t>
      </w:r>
      <w:r w:rsidRPr="00950C07">
        <w:rPr>
          <w:rFonts w:cstheme="minorHAnsi"/>
        </w:rPr>
        <w:t>ни</w:t>
      </w:r>
      <w:r w:rsidR="00304D1F">
        <w:rPr>
          <w:rFonts w:cstheme="minorHAnsi"/>
        </w:rPr>
        <w:t>м</w:t>
      </w:r>
      <w:r w:rsidRPr="00950C07">
        <w:rPr>
          <w:rFonts w:cstheme="minorHAnsi"/>
        </w:rPr>
        <w:t xml:space="preserve">, че в настоящото изследване не се обсъжда дали дадена програма е излишна или дадена структура е ненужна, а само изпълнението на целите на програмите и структурите така, както са зададени от самата администрация. </w:t>
      </w:r>
      <w:r w:rsidR="00AD41A4">
        <w:rPr>
          <w:rFonts w:cstheme="minorHAnsi"/>
        </w:rPr>
        <w:t>Често самите цели, поставени от администрацията</w:t>
      </w:r>
      <w:r w:rsidR="00FB312A">
        <w:rPr>
          <w:rFonts w:cstheme="minorHAnsi"/>
        </w:rPr>
        <w:t>,</w:t>
      </w:r>
      <w:r w:rsidR="00AD41A4">
        <w:rPr>
          <w:rFonts w:cstheme="minorHAnsi"/>
        </w:rPr>
        <w:t xml:space="preserve"> са изначално погрешни, прекалено общи</w:t>
      </w:r>
      <w:r w:rsidR="00FB312A">
        <w:rPr>
          <w:rFonts w:cstheme="minorHAnsi"/>
        </w:rPr>
        <w:t>,</w:t>
      </w:r>
      <w:r w:rsidR="00AD41A4">
        <w:rPr>
          <w:rFonts w:cstheme="minorHAnsi"/>
        </w:rPr>
        <w:t xml:space="preserve"> за да бъдат оценени или напълно неизпълними. Това, обаче, не е обект на настоящото изследване.</w:t>
      </w:r>
    </w:p>
    <w:p w14:paraId="04EB7A2C" w14:textId="37A0C4B7" w:rsidR="0015687F" w:rsidRDefault="0015687F" w:rsidP="00CD13DC">
      <w:pPr>
        <w:autoSpaceDE w:val="0"/>
        <w:autoSpaceDN w:val="0"/>
        <w:adjustRightInd w:val="0"/>
        <w:spacing w:before="120" w:after="0" w:line="240" w:lineRule="auto"/>
        <w:jc w:val="both"/>
        <w:rPr>
          <w:rFonts w:cstheme="minorHAnsi"/>
        </w:rPr>
      </w:pPr>
      <w:r>
        <w:rPr>
          <w:rFonts w:cstheme="minorHAnsi"/>
        </w:rPr>
        <w:t xml:space="preserve">Направеният преглед подсказва и какви ще са резултатите от одитите на действията на администрацията във връзка със справяне на последствията от Ковид епидемията. Спешността, неизвестността и необходимостта от несвойствени дейности единствено ще увеличат неефективността на и без това недобре работещата администрация. Към началото на 2021 г. </w:t>
      </w:r>
      <w:hyperlink r:id="rId14" w:history="1">
        <w:r w:rsidRPr="005B287A">
          <w:rPr>
            <w:rStyle w:val="Hyperlink"/>
            <w:rFonts w:cstheme="minorHAnsi"/>
          </w:rPr>
          <w:t>плановете</w:t>
        </w:r>
      </w:hyperlink>
      <w:r>
        <w:rPr>
          <w:rFonts w:cstheme="minorHAnsi"/>
        </w:rPr>
        <w:t xml:space="preserve"> на правителството са да похарчи над 3 млрд. лв. за справяне с пандемията. И докато част от средствата автоматично се разпределят по конкретни пера (добавки към пенсиите, увеличение на размера на минималната пенсия, намаляване на ставката на ДДС за определени стоки и др. подобни) и не изискват оценка, то за голяма част от мерките се изисква административен капацитет и мобилизация. </w:t>
      </w:r>
    </w:p>
    <w:p w14:paraId="58BAA57A" w14:textId="77777777" w:rsidR="0015687F" w:rsidRPr="0067679B" w:rsidRDefault="0015687F" w:rsidP="00CD13DC">
      <w:pPr>
        <w:autoSpaceDE w:val="0"/>
        <w:autoSpaceDN w:val="0"/>
        <w:adjustRightInd w:val="0"/>
        <w:spacing w:before="120" w:after="0" w:line="240" w:lineRule="auto"/>
        <w:jc w:val="both"/>
        <w:rPr>
          <w:rFonts w:cstheme="minorHAnsi"/>
        </w:rPr>
      </w:pPr>
      <w:r>
        <w:rPr>
          <w:rFonts w:cstheme="minorHAnsi"/>
        </w:rPr>
        <w:t xml:space="preserve">Прегледът на одитните доклади посочва като основни постоянни проблеми лошо управление, порочни обществени поръчки и неикономично харчене – все характеристики, които не вярваме, че са изчезнали по време на пандемията. Точно обратно, можем с голяма степен на сигурност да предположим, че проблемите са се засилили и част от похарчените Ковид средства страдат от пороците на лошото управление. </w:t>
      </w:r>
    </w:p>
    <w:p w14:paraId="0DEB7F2E" w14:textId="4C9B9628" w:rsidR="007052FD" w:rsidRPr="00950C07" w:rsidRDefault="007052FD" w:rsidP="00CD13DC">
      <w:pPr>
        <w:autoSpaceDE w:val="0"/>
        <w:autoSpaceDN w:val="0"/>
        <w:adjustRightInd w:val="0"/>
        <w:spacing w:before="120" w:after="0" w:line="240" w:lineRule="auto"/>
        <w:jc w:val="both"/>
        <w:rPr>
          <w:rFonts w:cstheme="minorHAnsi"/>
        </w:rPr>
      </w:pPr>
    </w:p>
    <w:p w14:paraId="065D1B11" w14:textId="77777777" w:rsidR="004C0B5B" w:rsidRDefault="004C0B5B">
      <w:pPr>
        <w:rPr>
          <w:rFonts w:cstheme="minorHAnsi"/>
          <w:b/>
        </w:rPr>
      </w:pPr>
      <w:r>
        <w:rPr>
          <w:rFonts w:cstheme="minorHAnsi"/>
          <w:b/>
        </w:rPr>
        <w:br w:type="page"/>
      </w:r>
    </w:p>
    <w:p w14:paraId="38373700" w14:textId="26AE436B" w:rsidR="00FE51B5" w:rsidRPr="00D534A0" w:rsidRDefault="00D534A0" w:rsidP="00CD13DC">
      <w:pPr>
        <w:spacing w:before="120" w:after="0" w:line="240" w:lineRule="auto"/>
        <w:jc w:val="center"/>
        <w:rPr>
          <w:rFonts w:cstheme="minorHAnsi"/>
          <w:b/>
        </w:rPr>
      </w:pPr>
      <w:r w:rsidRPr="00D534A0">
        <w:rPr>
          <w:rFonts w:cstheme="minorHAnsi"/>
          <w:b/>
        </w:rPr>
        <w:lastRenderedPageBreak/>
        <w:t>***</w:t>
      </w:r>
    </w:p>
    <w:p w14:paraId="036AB1BB" w14:textId="6EA87AD3" w:rsidR="00F27477" w:rsidRPr="002D5317" w:rsidRDefault="00FE51B5" w:rsidP="00CD13DC">
      <w:pPr>
        <w:spacing w:before="120" w:after="0" w:line="240" w:lineRule="auto"/>
        <w:jc w:val="both"/>
        <w:rPr>
          <w:rFonts w:cstheme="minorHAnsi"/>
          <w:b/>
          <w:i/>
        </w:rPr>
      </w:pPr>
      <w:r w:rsidRPr="00950C07">
        <w:rPr>
          <w:rFonts w:cstheme="minorHAnsi"/>
          <w:b/>
          <w:i/>
        </w:rPr>
        <w:t>Предишни издания:</w:t>
      </w:r>
    </w:p>
    <w:p w14:paraId="0C607091" w14:textId="3140BAD4" w:rsidR="002B4A06" w:rsidRPr="002B4A06" w:rsidRDefault="00E27FCB" w:rsidP="00CD13DC">
      <w:pPr>
        <w:numPr>
          <w:ilvl w:val="0"/>
          <w:numId w:val="12"/>
        </w:numPr>
        <w:spacing w:before="120" w:after="0" w:line="240" w:lineRule="auto"/>
        <w:jc w:val="both"/>
        <w:rPr>
          <w:rFonts w:cstheme="minorHAnsi"/>
        </w:rPr>
      </w:pPr>
      <w:r>
        <w:rPr>
          <w:rFonts w:cstheme="minorHAnsi"/>
          <w:lang w:val="en-GB"/>
        </w:rPr>
        <w:t xml:space="preserve">VI. </w:t>
      </w:r>
      <w:hyperlink r:id="rId15" w:history="1">
        <w:r w:rsidRPr="0001090C">
          <w:rPr>
            <w:rStyle w:val="Hyperlink"/>
            <w:rFonts w:cstheme="minorHAnsi"/>
            <w:shd w:val="clear" w:color="auto" w:fill="FFFFFF"/>
          </w:rPr>
          <w:t>Успехите и провалите на бъ</w:t>
        </w:r>
        <w:r>
          <w:rPr>
            <w:rStyle w:val="Hyperlink"/>
            <w:rFonts w:cstheme="minorHAnsi"/>
            <w:shd w:val="clear" w:color="auto" w:fill="FFFFFF"/>
          </w:rPr>
          <w:t>лгарските правителства 1998-2017</w:t>
        </w:r>
        <w:r w:rsidRPr="0001090C">
          <w:rPr>
            <w:rStyle w:val="Hyperlink"/>
            <w:rFonts w:cstheme="minorHAnsi"/>
            <w:shd w:val="clear" w:color="auto" w:fill="FFFFFF"/>
          </w:rPr>
          <w:t xml:space="preserve"> г.</w:t>
        </w:r>
      </w:hyperlink>
      <w:r>
        <w:rPr>
          <w:rFonts w:cstheme="minorHAnsi"/>
          <w:shd w:val="clear" w:color="auto" w:fill="FFFFFF"/>
        </w:rPr>
        <w:t xml:space="preserve"> (966</w:t>
      </w:r>
      <w:r w:rsidRPr="00950C07">
        <w:rPr>
          <w:rFonts w:cstheme="minorHAnsi"/>
          <w:shd w:val="clear" w:color="auto" w:fill="FFFFFF"/>
        </w:rPr>
        <w:t xml:space="preserve"> одитни доклада)</w:t>
      </w:r>
    </w:p>
    <w:p w14:paraId="479E46CB" w14:textId="414D9290" w:rsidR="00FE51B5" w:rsidRPr="00950C07" w:rsidRDefault="00E27FCB" w:rsidP="00CD13DC">
      <w:pPr>
        <w:numPr>
          <w:ilvl w:val="0"/>
          <w:numId w:val="12"/>
        </w:numPr>
        <w:spacing w:before="120" w:after="0" w:line="240" w:lineRule="auto"/>
        <w:jc w:val="both"/>
        <w:rPr>
          <w:rFonts w:cstheme="minorHAnsi"/>
        </w:rPr>
      </w:pPr>
      <w:r>
        <w:rPr>
          <w:lang w:val="en-GB"/>
        </w:rPr>
        <w:t xml:space="preserve">V. </w:t>
      </w:r>
      <w:hyperlink r:id="rId16" w:history="1">
        <w:r w:rsidR="00FE51B5" w:rsidRPr="0001090C">
          <w:rPr>
            <w:rStyle w:val="Hyperlink"/>
            <w:rFonts w:cstheme="minorHAnsi"/>
            <w:shd w:val="clear" w:color="auto" w:fill="FFFFFF"/>
          </w:rPr>
          <w:t>Успехите и провалите на българските правителства 1998-2015 г.</w:t>
        </w:r>
      </w:hyperlink>
      <w:r w:rsidR="00FE51B5" w:rsidRPr="00950C07">
        <w:rPr>
          <w:rFonts w:cstheme="minorHAnsi"/>
          <w:shd w:val="clear" w:color="auto" w:fill="FFFFFF"/>
        </w:rPr>
        <w:t xml:space="preserve"> (901 одитни доклада)</w:t>
      </w:r>
    </w:p>
    <w:p w14:paraId="1E0EBAC8" w14:textId="688F0348" w:rsidR="00FE51B5" w:rsidRPr="00950C07" w:rsidRDefault="00E27FCB" w:rsidP="00CD13DC">
      <w:pPr>
        <w:numPr>
          <w:ilvl w:val="0"/>
          <w:numId w:val="12"/>
        </w:numPr>
        <w:spacing w:before="120" w:after="0" w:line="240" w:lineRule="auto"/>
        <w:jc w:val="both"/>
        <w:rPr>
          <w:rFonts w:cstheme="minorHAnsi"/>
        </w:rPr>
      </w:pPr>
      <w:r>
        <w:rPr>
          <w:lang w:val="en-GB"/>
        </w:rPr>
        <w:t xml:space="preserve">IV. </w:t>
      </w:r>
      <w:hyperlink r:id="rId17" w:history="1">
        <w:r w:rsidR="00FE51B5" w:rsidRPr="0001090C">
          <w:rPr>
            <w:rStyle w:val="Hyperlink"/>
            <w:rFonts w:cstheme="minorHAnsi"/>
            <w:shd w:val="clear" w:color="auto" w:fill="FFFFFF"/>
          </w:rPr>
          <w:t>Успехите и провалите на българските правителства 1998-2012 г.</w:t>
        </w:r>
      </w:hyperlink>
      <w:r w:rsidR="00FE51B5" w:rsidRPr="00950C07">
        <w:rPr>
          <w:rFonts w:cstheme="minorHAnsi"/>
          <w:shd w:val="clear" w:color="auto" w:fill="FFFFFF"/>
        </w:rPr>
        <w:t xml:space="preserve"> (747 одитни доклада)</w:t>
      </w:r>
    </w:p>
    <w:p w14:paraId="362046C0" w14:textId="711B8A35" w:rsidR="00FE51B5" w:rsidRPr="00950C07" w:rsidRDefault="00E27FCB" w:rsidP="00CD13DC">
      <w:pPr>
        <w:numPr>
          <w:ilvl w:val="0"/>
          <w:numId w:val="12"/>
        </w:numPr>
        <w:spacing w:before="120" w:after="0" w:line="240" w:lineRule="auto"/>
        <w:jc w:val="both"/>
        <w:rPr>
          <w:rFonts w:cstheme="minorHAnsi"/>
        </w:rPr>
      </w:pPr>
      <w:r>
        <w:rPr>
          <w:lang w:val="en-GB"/>
        </w:rPr>
        <w:t xml:space="preserve">III. </w:t>
      </w:r>
      <w:hyperlink r:id="rId18" w:history="1">
        <w:r w:rsidR="00FE51B5" w:rsidRPr="0001090C">
          <w:rPr>
            <w:rStyle w:val="Hyperlink"/>
            <w:rFonts w:cstheme="minorHAnsi"/>
          </w:rPr>
          <w:t xml:space="preserve">Успехите и провалите на </w:t>
        </w:r>
        <w:r w:rsidR="00FE51B5" w:rsidRPr="0001090C">
          <w:rPr>
            <w:rStyle w:val="Hyperlink"/>
            <w:rFonts w:cstheme="minorHAnsi"/>
            <w:shd w:val="clear" w:color="auto" w:fill="FFFFFF"/>
          </w:rPr>
          <w:t>българските правителства 1998-2011 г.</w:t>
        </w:r>
      </w:hyperlink>
      <w:r w:rsidR="00FE51B5" w:rsidRPr="00950C07">
        <w:rPr>
          <w:rFonts w:cstheme="minorHAnsi"/>
          <w:shd w:val="clear" w:color="auto" w:fill="FFFFFF"/>
        </w:rPr>
        <w:t xml:space="preserve"> (697 одитни доклада) </w:t>
      </w:r>
    </w:p>
    <w:p w14:paraId="0F470127" w14:textId="7FFB7085" w:rsidR="00FE51B5" w:rsidRPr="00950C07" w:rsidRDefault="00E27FCB" w:rsidP="00CD13DC">
      <w:pPr>
        <w:numPr>
          <w:ilvl w:val="0"/>
          <w:numId w:val="12"/>
        </w:numPr>
        <w:spacing w:before="120" w:after="0" w:line="240" w:lineRule="auto"/>
        <w:jc w:val="both"/>
        <w:rPr>
          <w:rFonts w:cstheme="minorHAnsi"/>
        </w:rPr>
      </w:pPr>
      <w:r>
        <w:rPr>
          <w:lang w:val="en-GB"/>
        </w:rPr>
        <w:t xml:space="preserve">II. </w:t>
      </w:r>
      <w:hyperlink r:id="rId19" w:history="1">
        <w:r w:rsidR="00FE51B5" w:rsidRPr="0001090C">
          <w:rPr>
            <w:rStyle w:val="Hyperlink"/>
            <w:rFonts w:cstheme="minorHAnsi"/>
          </w:rPr>
          <w:t xml:space="preserve">Успехите и провалите на </w:t>
        </w:r>
        <w:r w:rsidR="00FE51B5" w:rsidRPr="0001090C">
          <w:rPr>
            <w:rStyle w:val="Hyperlink"/>
            <w:rFonts w:cstheme="minorHAnsi"/>
            <w:shd w:val="clear" w:color="auto" w:fill="FFFFFF"/>
          </w:rPr>
          <w:t>българските правителства 1998-2010 г.</w:t>
        </w:r>
      </w:hyperlink>
      <w:r w:rsidR="00FE51B5" w:rsidRPr="00950C07">
        <w:rPr>
          <w:rFonts w:cstheme="minorHAnsi"/>
          <w:shd w:val="clear" w:color="auto" w:fill="FFFFFF"/>
        </w:rPr>
        <w:t xml:space="preserve"> (586 одитни доклада)</w:t>
      </w:r>
    </w:p>
    <w:p w14:paraId="320400FF" w14:textId="0F1222FC" w:rsidR="00FE51B5" w:rsidRPr="00950C07" w:rsidRDefault="00E27FCB" w:rsidP="00CD13DC">
      <w:pPr>
        <w:numPr>
          <w:ilvl w:val="0"/>
          <w:numId w:val="12"/>
        </w:numPr>
        <w:spacing w:before="120" w:after="0" w:line="240" w:lineRule="auto"/>
        <w:jc w:val="both"/>
        <w:rPr>
          <w:rFonts w:cstheme="minorHAnsi"/>
        </w:rPr>
      </w:pPr>
      <w:r>
        <w:rPr>
          <w:lang w:val="en-GB"/>
        </w:rPr>
        <w:t xml:space="preserve">I. </w:t>
      </w:r>
      <w:hyperlink r:id="rId20" w:history="1">
        <w:r w:rsidR="00FE51B5" w:rsidRPr="0001090C">
          <w:rPr>
            <w:rStyle w:val="Hyperlink"/>
            <w:rFonts w:cstheme="minorHAnsi"/>
          </w:rPr>
          <w:t xml:space="preserve">Успехите и провалите на </w:t>
        </w:r>
        <w:r w:rsidR="00FE51B5" w:rsidRPr="0001090C">
          <w:rPr>
            <w:rStyle w:val="Hyperlink"/>
            <w:rFonts w:cstheme="minorHAnsi"/>
            <w:shd w:val="clear" w:color="auto" w:fill="FFFFFF"/>
          </w:rPr>
          <w:t>българските правителства 1998-2007 г.</w:t>
        </w:r>
      </w:hyperlink>
      <w:r w:rsidR="00FE51B5" w:rsidRPr="00950C07">
        <w:rPr>
          <w:rFonts w:cstheme="minorHAnsi"/>
          <w:shd w:val="clear" w:color="auto" w:fill="FFFFFF"/>
        </w:rPr>
        <w:t xml:space="preserve"> (433 одитни доклада)</w:t>
      </w:r>
    </w:p>
    <w:p w14:paraId="09E280BA" w14:textId="65CD65FE" w:rsidR="00FE51B5" w:rsidRPr="00950C07" w:rsidRDefault="00FE51B5" w:rsidP="00CD13DC">
      <w:pPr>
        <w:autoSpaceDE w:val="0"/>
        <w:autoSpaceDN w:val="0"/>
        <w:adjustRightInd w:val="0"/>
        <w:spacing w:before="120" w:after="0" w:line="240" w:lineRule="auto"/>
        <w:jc w:val="both"/>
        <w:rPr>
          <w:rFonts w:cstheme="minorHAnsi"/>
        </w:rPr>
      </w:pPr>
    </w:p>
    <w:p w14:paraId="0A8C7EA0" w14:textId="11AE3AA9" w:rsidR="004C0B5B" w:rsidRPr="005B287A" w:rsidRDefault="005B287A" w:rsidP="005B287A">
      <w:pPr>
        <w:spacing w:before="120" w:after="0" w:line="240" w:lineRule="auto"/>
        <w:jc w:val="center"/>
        <w:rPr>
          <w:rFonts w:cstheme="minorHAnsi"/>
          <w:b/>
        </w:rPr>
      </w:pPr>
      <w:r w:rsidRPr="005B287A">
        <w:rPr>
          <w:rFonts w:cstheme="minorHAnsi"/>
          <w:b/>
        </w:rPr>
        <w:t>***</w:t>
      </w:r>
    </w:p>
    <w:p w14:paraId="606543E9" w14:textId="26E3C1BF" w:rsidR="00972E6C" w:rsidRPr="00DE7741" w:rsidRDefault="00972E6C" w:rsidP="00CD13DC">
      <w:pPr>
        <w:spacing w:before="120" w:after="0" w:line="240" w:lineRule="auto"/>
        <w:jc w:val="both"/>
        <w:rPr>
          <w:rFonts w:cstheme="minorHAnsi"/>
          <w:b/>
          <w:i/>
        </w:rPr>
      </w:pPr>
      <w:r w:rsidRPr="00DE7741">
        <w:rPr>
          <w:rFonts w:cstheme="minorHAnsi"/>
          <w:b/>
          <w:i/>
        </w:rPr>
        <w:t xml:space="preserve">Други </w:t>
      </w:r>
      <w:r w:rsidR="00116081" w:rsidRPr="00DE7741">
        <w:rPr>
          <w:rFonts w:cstheme="minorHAnsi"/>
          <w:b/>
          <w:i/>
        </w:rPr>
        <w:t>инициативи</w:t>
      </w:r>
      <w:r w:rsidRPr="00DE7741">
        <w:rPr>
          <w:rFonts w:cstheme="minorHAnsi"/>
          <w:b/>
          <w:i/>
        </w:rPr>
        <w:t>, насочени съм оценка на ефективността на работата на администрацията:</w:t>
      </w:r>
    </w:p>
    <w:p w14:paraId="2346A09B" w14:textId="1DE803A1" w:rsidR="00972E6C" w:rsidRPr="005A5D83" w:rsidRDefault="005A5D83"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rPr>
        <w:t xml:space="preserve">Черната книга на правителственото разхищение в България – издание на </w:t>
      </w:r>
      <w:r w:rsidRPr="005A5D83">
        <w:rPr>
          <w:rFonts w:cstheme="minorHAnsi"/>
          <w:bCs/>
        </w:rPr>
        <w:t xml:space="preserve">Фондация за свободата „Фридрих Науман“, която </w:t>
      </w:r>
      <w:r w:rsidR="002928CD">
        <w:rPr>
          <w:rFonts w:cstheme="minorHAnsi"/>
          <w:bCs/>
        </w:rPr>
        <w:t>публикува</w:t>
      </w:r>
      <w:r w:rsidRPr="005A5D83">
        <w:rPr>
          <w:rFonts w:cstheme="minorHAnsi"/>
          <w:bCs/>
        </w:rPr>
        <w:t xml:space="preserve"> вече пет години ежегодно истории за нецелесъобразно и неразумно похарчени публични средства. - </w:t>
      </w:r>
      <w:hyperlink r:id="rId21" w:history="1">
        <w:r w:rsidRPr="005A5D83">
          <w:rPr>
            <w:rStyle w:val="Hyperlink"/>
            <w:rFonts w:cstheme="minorHAnsi"/>
            <w:bCs/>
          </w:rPr>
          <w:t>https://chernakniga.bg/</w:t>
        </w:r>
      </w:hyperlink>
      <w:r w:rsidRPr="005A5D83">
        <w:rPr>
          <w:rFonts w:cstheme="minorHAnsi"/>
          <w:bCs/>
        </w:rPr>
        <w:t xml:space="preserve"> </w:t>
      </w:r>
    </w:p>
    <w:p w14:paraId="3A8F7C66" w14:textId="1CC6A8AB" w:rsidR="00972E6C" w:rsidRPr="005A5D83" w:rsidRDefault="00972E6C"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rPr>
        <w:t>Икономическа свобода</w:t>
      </w:r>
      <w:r w:rsidR="002928CD">
        <w:rPr>
          <w:rFonts w:cstheme="minorHAnsi"/>
        </w:rPr>
        <w:t xml:space="preserve"> по света и в България 2021</w:t>
      </w:r>
      <w:r w:rsidR="005A5D83" w:rsidRPr="005A5D83">
        <w:rPr>
          <w:rFonts w:cstheme="minorHAnsi"/>
        </w:rPr>
        <w:t xml:space="preserve"> - </w:t>
      </w:r>
      <w:hyperlink r:id="rId22" w:history="1">
        <w:r w:rsidR="005A5D83" w:rsidRPr="005A5D83">
          <w:rPr>
            <w:rStyle w:val="Hyperlink"/>
            <w:rFonts w:cstheme="minorHAnsi"/>
          </w:rPr>
          <w:t>https://ime.bg/bg/articles/2021-ikonomieskata-svoboda-v-bylgariya-e-v-zastoi/</w:t>
        </w:r>
      </w:hyperlink>
      <w:r w:rsidR="005A5D83" w:rsidRPr="005A5D83">
        <w:rPr>
          <w:rFonts w:cstheme="minorHAnsi"/>
        </w:rPr>
        <w:t xml:space="preserve"> </w:t>
      </w:r>
    </w:p>
    <w:p w14:paraId="5AB4A7E6" w14:textId="676072DD" w:rsidR="005A5D83" w:rsidRPr="005A5D83" w:rsidRDefault="005A5D83" w:rsidP="004C0B5B">
      <w:pPr>
        <w:pStyle w:val="ListParagraph"/>
        <w:numPr>
          <w:ilvl w:val="0"/>
          <w:numId w:val="26"/>
        </w:numPr>
        <w:spacing w:before="120" w:after="0" w:line="240" w:lineRule="auto"/>
        <w:ind w:left="714" w:hanging="357"/>
        <w:contextualSpacing w:val="0"/>
        <w:rPr>
          <w:rFonts w:eastAsiaTheme="minorEastAsia" w:cstheme="minorHAnsi"/>
          <w:bCs/>
          <w:lang w:eastAsia="bg-BG"/>
        </w:rPr>
      </w:pPr>
      <w:r w:rsidRPr="005A5D83">
        <w:rPr>
          <w:rFonts w:eastAsiaTheme="minorEastAsia" w:cstheme="minorHAnsi"/>
          <w:bCs/>
          <w:lang w:eastAsia="bg-BG"/>
        </w:rPr>
        <w:t>Ден на данъчната свобода</w:t>
      </w:r>
      <w:r w:rsidRPr="005A5D83">
        <w:rPr>
          <w:rFonts w:cstheme="minorHAnsi"/>
          <w:bCs/>
        </w:rPr>
        <w:t xml:space="preserve"> - </w:t>
      </w:r>
      <w:hyperlink r:id="rId23" w:history="1">
        <w:r w:rsidRPr="005A5D83">
          <w:rPr>
            <w:rStyle w:val="Hyperlink"/>
            <w:rFonts w:cstheme="minorHAnsi"/>
            <w:bCs/>
          </w:rPr>
          <w:t>https://ime.bg/bg/articles/ime_economic_freedom/</w:t>
        </w:r>
      </w:hyperlink>
      <w:r w:rsidRPr="005A5D83">
        <w:rPr>
          <w:rFonts w:cstheme="minorHAnsi"/>
          <w:bCs/>
        </w:rPr>
        <w:t xml:space="preserve"> </w:t>
      </w:r>
    </w:p>
    <w:p w14:paraId="66F53251" w14:textId="768AC5A2" w:rsidR="00972E6C" w:rsidRPr="005A5D83" w:rsidRDefault="00972E6C"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rPr>
        <w:t>Социалната политика в България</w:t>
      </w:r>
      <w:r w:rsidR="005A5D83" w:rsidRPr="005A5D83">
        <w:rPr>
          <w:rFonts w:cstheme="minorHAnsi"/>
        </w:rPr>
        <w:t xml:space="preserve"> - </w:t>
      </w:r>
      <w:hyperlink r:id="rId24" w:history="1">
        <w:r w:rsidR="005A5D83" w:rsidRPr="005A5D83">
          <w:rPr>
            <w:rStyle w:val="Hyperlink"/>
            <w:rFonts w:cstheme="minorHAnsi"/>
          </w:rPr>
          <w:t>https://socialchangebg.info/bg</w:t>
        </w:r>
      </w:hyperlink>
      <w:r w:rsidR="005A5D83" w:rsidRPr="005A5D83">
        <w:rPr>
          <w:rFonts w:cstheme="minorHAnsi"/>
        </w:rPr>
        <w:t xml:space="preserve"> </w:t>
      </w:r>
    </w:p>
    <w:p w14:paraId="11F0A613" w14:textId="2AC3FDB9" w:rsidR="005A5D83" w:rsidRPr="005A5D83" w:rsidRDefault="005A5D83"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rPr>
        <w:t>Специализирана страница „Моите данъци” – </w:t>
      </w:r>
      <w:hyperlink r:id="rId25" w:tgtFrame="_self" w:history="1">
        <w:r w:rsidRPr="005A5D83">
          <w:rPr>
            <w:rStyle w:val="Hyperlink"/>
            <w:rFonts w:cstheme="minorHAnsi"/>
          </w:rPr>
          <w:t>kolkodavam.bg</w:t>
        </w:r>
      </w:hyperlink>
    </w:p>
    <w:p w14:paraId="413935F4" w14:textId="77777777" w:rsidR="005A5D83" w:rsidRDefault="005A5D83"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rPr>
        <w:t xml:space="preserve">Алтернативен бюджет на ИПИ - </w:t>
      </w:r>
      <w:hyperlink r:id="rId26" w:history="1">
        <w:r w:rsidRPr="005A5D83">
          <w:rPr>
            <w:rStyle w:val="Hyperlink"/>
            <w:rFonts w:cstheme="minorHAnsi"/>
          </w:rPr>
          <w:t>https://ime.bg/bg/articles/public_fin/</w:t>
        </w:r>
      </w:hyperlink>
      <w:r w:rsidRPr="005A5D83">
        <w:rPr>
          <w:rFonts w:cstheme="minorHAnsi"/>
        </w:rPr>
        <w:t xml:space="preserve"> </w:t>
      </w:r>
    </w:p>
    <w:p w14:paraId="00EA95A5" w14:textId="77777777" w:rsidR="00CD13DC" w:rsidRPr="00CD13DC" w:rsidRDefault="00972E6C" w:rsidP="004C0B5B">
      <w:pPr>
        <w:pStyle w:val="ListParagraph"/>
        <w:numPr>
          <w:ilvl w:val="0"/>
          <w:numId w:val="26"/>
        </w:numPr>
        <w:spacing w:before="120" w:after="0" w:line="240" w:lineRule="auto"/>
        <w:ind w:left="714" w:hanging="357"/>
        <w:contextualSpacing w:val="0"/>
        <w:rPr>
          <w:rFonts w:cstheme="minorHAnsi"/>
        </w:rPr>
      </w:pPr>
      <w:r w:rsidRPr="005A5D83">
        <w:rPr>
          <w:rFonts w:cstheme="minorHAnsi"/>
          <w:bCs/>
        </w:rPr>
        <w:t>Популистките политики и ефектите върху предприемачеството</w:t>
      </w:r>
      <w:r w:rsidR="005A5D83" w:rsidRPr="005A5D83">
        <w:rPr>
          <w:rFonts w:cstheme="minorHAnsi"/>
          <w:bCs/>
        </w:rPr>
        <w:t xml:space="preserve"> - </w:t>
      </w:r>
      <w:hyperlink r:id="rId27" w:history="1">
        <w:r w:rsidR="005A5D83" w:rsidRPr="005A5D83">
          <w:rPr>
            <w:rStyle w:val="Hyperlink"/>
            <w:rFonts w:cstheme="minorHAnsi"/>
            <w:bCs/>
          </w:rPr>
          <w:t>https://ime.bg/bg/articles/populistkite-politiki-i-efektite-vyrhu-predpriemaestvoto/</w:t>
        </w:r>
      </w:hyperlink>
      <w:r w:rsidR="005A5D83" w:rsidRPr="005A5D83">
        <w:rPr>
          <w:rFonts w:cstheme="minorHAnsi"/>
          <w:bCs/>
        </w:rPr>
        <w:t xml:space="preserve"> </w:t>
      </w:r>
    </w:p>
    <w:p w14:paraId="1D8C0758" w14:textId="77777777" w:rsidR="00CD13DC" w:rsidRDefault="00CD13DC" w:rsidP="00CD13DC">
      <w:pPr>
        <w:pStyle w:val="ListParagraph"/>
        <w:spacing w:before="120" w:after="0" w:line="240" w:lineRule="auto"/>
        <w:ind w:left="714"/>
        <w:contextualSpacing w:val="0"/>
        <w:jc w:val="both"/>
        <w:rPr>
          <w:rFonts w:cstheme="minorHAnsi"/>
          <w:bCs/>
        </w:rPr>
      </w:pPr>
    </w:p>
    <w:p w14:paraId="25049758" w14:textId="77777777" w:rsidR="00CD13DC" w:rsidRDefault="00CD13DC" w:rsidP="00CD13DC">
      <w:pPr>
        <w:pStyle w:val="ListParagraph"/>
        <w:spacing w:before="120" w:after="0" w:line="240" w:lineRule="auto"/>
        <w:ind w:left="714"/>
        <w:contextualSpacing w:val="0"/>
        <w:jc w:val="both"/>
        <w:rPr>
          <w:rFonts w:cstheme="minorHAnsi"/>
          <w:bCs/>
        </w:rPr>
      </w:pPr>
    </w:p>
    <w:p w14:paraId="3373B61A" w14:textId="49FA5E68" w:rsidR="00063B0A" w:rsidRPr="002928CD" w:rsidRDefault="00063B0A" w:rsidP="00CD13DC">
      <w:pPr>
        <w:pStyle w:val="ListParagraph"/>
        <w:spacing w:before="120" w:after="0" w:line="240" w:lineRule="auto"/>
        <w:ind w:left="714"/>
        <w:contextualSpacing w:val="0"/>
        <w:jc w:val="both"/>
        <w:rPr>
          <w:rFonts w:cstheme="minorHAnsi"/>
        </w:rPr>
      </w:pPr>
      <w:r w:rsidRPr="002928CD">
        <w:rPr>
          <w:rFonts w:cstheme="minorHAnsi"/>
        </w:rPr>
        <w:br w:type="page"/>
      </w:r>
    </w:p>
    <w:p w14:paraId="791DC83A" w14:textId="30673E22" w:rsidR="003214ED" w:rsidRPr="008861B6" w:rsidRDefault="003214ED" w:rsidP="00CD13DC">
      <w:pPr>
        <w:pStyle w:val="Heading1"/>
        <w:shd w:val="clear" w:color="auto" w:fill="808080" w:themeFill="background1" w:themeFillShade="80"/>
        <w:spacing w:before="120"/>
        <w:rPr>
          <w:rFonts w:asciiTheme="minorHAnsi" w:hAnsiTheme="minorHAnsi" w:cstheme="minorHAnsi"/>
          <w:color w:val="FFFFFF" w:themeColor="background1"/>
        </w:rPr>
      </w:pPr>
      <w:bookmarkStart w:id="2" w:name="_Toc216178139"/>
      <w:bookmarkStart w:id="3" w:name="_Toc279481465"/>
      <w:bookmarkStart w:id="4" w:name="_Toc279481540"/>
      <w:bookmarkStart w:id="5" w:name="_Toc279486954"/>
      <w:bookmarkStart w:id="6" w:name="_Toc279487209"/>
      <w:bookmarkStart w:id="7" w:name="_Toc279741581"/>
      <w:bookmarkStart w:id="8" w:name="_Toc282432580"/>
      <w:bookmarkStart w:id="9" w:name="_Toc285637035"/>
      <w:bookmarkStart w:id="10" w:name="_Toc316386071"/>
      <w:bookmarkStart w:id="11" w:name="_Toc356652893"/>
      <w:bookmarkStart w:id="12" w:name="_Toc82520995"/>
      <w:bookmarkEnd w:id="0"/>
      <w:r w:rsidRPr="008861B6">
        <w:rPr>
          <w:rFonts w:asciiTheme="minorHAnsi" w:hAnsiTheme="minorHAnsi" w:cstheme="minorHAnsi"/>
          <w:color w:val="FFFFFF" w:themeColor="background1"/>
        </w:rPr>
        <w:lastRenderedPageBreak/>
        <w:t>Методология</w:t>
      </w:r>
      <w:bookmarkEnd w:id="2"/>
      <w:bookmarkEnd w:id="3"/>
      <w:bookmarkEnd w:id="4"/>
      <w:bookmarkEnd w:id="5"/>
      <w:bookmarkEnd w:id="6"/>
      <w:bookmarkEnd w:id="7"/>
      <w:bookmarkEnd w:id="8"/>
      <w:bookmarkEnd w:id="9"/>
      <w:bookmarkEnd w:id="10"/>
      <w:bookmarkEnd w:id="11"/>
      <w:bookmarkEnd w:id="12"/>
    </w:p>
    <w:p w14:paraId="75D2F4FC" w14:textId="79ED4AB3" w:rsidR="002C08EE" w:rsidRPr="00950C07" w:rsidRDefault="002C08EE" w:rsidP="00CD13DC">
      <w:pPr>
        <w:spacing w:before="120" w:after="0" w:line="240" w:lineRule="auto"/>
        <w:jc w:val="both"/>
        <w:rPr>
          <w:rFonts w:cstheme="minorHAnsi"/>
        </w:rPr>
      </w:pPr>
      <w:r w:rsidRPr="00950C07">
        <w:rPr>
          <w:rFonts w:cstheme="minorHAnsi"/>
        </w:rPr>
        <w:t xml:space="preserve">В „Свободата на избора” Милтън </w:t>
      </w:r>
      <w:proofErr w:type="spellStart"/>
      <w:r w:rsidRPr="00950C07">
        <w:rPr>
          <w:rFonts w:cstheme="minorHAnsi"/>
        </w:rPr>
        <w:t>Фридман</w:t>
      </w:r>
      <w:proofErr w:type="spellEnd"/>
      <w:r w:rsidR="00390B63" w:rsidRPr="00950C07">
        <w:rPr>
          <w:rStyle w:val="FootnoteReference"/>
          <w:rFonts w:cstheme="minorHAnsi"/>
        </w:rPr>
        <w:footnoteReference w:id="1"/>
      </w:r>
      <w:r w:rsidRPr="00950C07">
        <w:rPr>
          <w:rFonts w:cstheme="minorHAnsi"/>
        </w:rPr>
        <w:t xml:space="preserve">, </w:t>
      </w:r>
      <w:r w:rsidRPr="00950C07">
        <w:rPr>
          <w:rFonts w:eastAsia="Times New Roman" w:cstheme="minorHAnsi"/>
        </w:rPr>
        <w:t>един от най-влиятелните икономисти на ХХ век,</w:t>
      </w:r>
      <w:r w:rsidR="003214ED" w:rsidRPr="00950C07">
        <w:rPr>
          <w:rFonts w:eastAsia="Times New Roman" w:cstheme="minorHAnsi"/>
        </w:rPr>
        <w:t xml:space="preserve"> </w:t>
      </w:r>
      <w:r w:rsidRPr="00950C07">
        <w:rPr>
          <w:rFonts w:cstheme="minorHAnsi"/>
        </w:rPr>
        <w:t>по брилянтен начин изтъква причината за неефективността на държавните разходи</w:t>
      </w:r>
      <w:r w:rsidR="00172A67" w:rsidRPr="00950C07">
        <w:rPr>
          <w:rFonts w:cstheme="minorHAnsi"/>
        </w:rPr>
        <w:t>:</w:t>
      </w:r>
    </w:p>
    <w:p w14:paraId="390D6CEC" w14:textId="77777777" w:rsidR="002C08EE" w:rsidRPr="00950C07" w:rsidRDefault="00172A67" w:rsidP="00CD13DC">
      <w:pPr>
        <w:spacing w:before="120" w:after="0" w:line="240" w:lineRule="auto"/>
        <w:jc w:val="both"/>
        <w:rPr>
          <w:rFonts w:cstheme="minorHAnsi"/>
          <w:i/>
        </w:rPr>
      </w:pPr>
      <w:r w:rsidRPr="00950C07">
        <w:rPr>
          <w:rFonts w:cstheme="minorHAnsi"/>
          <w:i/>
        </w:rPr>
        <w:t>„</w:t>
      </w:r>
      <w:r w:rsidR="002C08EE" w:rsidRPr="00950C07">
        <w:rPr>
          <w:rFonts w:cstheme="minorHAnsi"/>
          <w:i/>
        </w:rPr>
        <w:t>Когато харчите, Вие харчите или свои, или чужди пари и ги харчите или в своя, или в чужда полза. Съчетаването на тези алтернативи дава четири възможни начина за харчене:</w:t>
      </w:r>
    </w:p>
    <w:p w14:paraId="5318597F" w14:textId="77777777" w:rsidR="002C08EE" w:rsidRPr="00950C07" w:rsidRDefault="00B822F5" w:rsidP="00CD13DC">
      <w:pPr>
        <w:pStyle w:val="ListParagraph"/>
        <w:numPr>
          <w:ilvl w:val="0"/>
          <w:numId w:val="11"/>
        </w:numPr>
        <w:spacing w:before="120" w:after="0" w:line="240" w:lineRule="auto"/>
        <w:contextualSpacing w:val="0"/>
        <w:jc w:val="both"/>
        <w:rPr>
          <w:rFonts w:cstheme="minorHAnsi"/>
          <w:i/>
        </w:rPr>
      </w:pPr>
      <w:r w:rsidRPr="00950C07">
        <w:rPr>
          <w:rFonts w:cstheme="minorHAnsi"/>
          <w:i/>
          <w:noProof/>
          <w:lang w:val="en-US"/>
        </w:rPr>
        <w:drawing>
          <wp:anchor distT="0" distB="0" distL="114300" distR="114300" simplePos="0" relativeHeight="251657216" behindDoc="0" locked="0" layoutInCell="1" allowOverlap="1" wp14:anchorId="0D055303" wp14:editId="204E4E51">
            <wp:simplePos x="0" y="0"/>
            <wp:positionH relativeFrom="column">
              <wp:posOffset>2999740</wp:posOffset>
            </wp:positionH>
            <wp:positionV relativeFrom="paragraph">
              <wp:posOffset>114935</wp:posOffset>
            </wp:positionV>
            <wp:extent cx="2876550" cy="2604770"/>
            <wp:effectExtent l="1905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876550" cy="2604770"/>
                    </a:xfrm>
                    <a:prstGeom prst="rect">
                      <a:avLst/>
                    </a:prstGeom>
                    <a:noFill/>
                    <a:ln w="9525">
                      <a:noFill/>
                      <a:miter lim="800000"/>
                      <a:headEnd/>
                      <a:tailEnd/>
                    </a:ln>
                  </pic:spPr>
                </pic:pic>
              </a:graphicData>
            </a:graphic>
          </wp:anchor>
        </w:drawing>
      </w:r>
      <w:r w:rsidR="002C08EE" w:rsidRPr="00950C07">
        <w:rPr>
          <w:rFonts w:cstheme="minorHAnsi"/>
          <w:i/>
        </w:rPr>
        <w:t>Харчите собствените си пари за себе си. Очевидно имате стимул и да икономисвате, и да получавате възможно най-голяма стойност за парите си.</w:t>
      </w:r>
    </w:p>
    <w:p w14:paraId="682E4D14" w14:textId="77777777" w:rsidR="002C08EE" w:rsidRPr="00950C07" w:rsidRDefault="002C08EE" w:rsidP="00CD13DC">
      <w:pPr>
        <w:pStyle w:val="ListParagraph"/>
        <w:numPr>
          <w:ilvl w:val="0"/>
          <w:numId w:val="11"/>
        </w:numPr>
        <w:spacing w:before="120" w:after="0" w:line="240" w:lineRule="auto"/>
        <w:contextualSpacing w:val="0"/>
        <w:jc w:val="both"/>
        <w:rPr>
          <w:rFonts w:cstheme="minorHAnsi"/>
          <w:i/>
        </w:rPr>
      </w:pPr>
      <w:r w:rsidRPr="00950C07">
        <w:rPr>
          <w:rFonts w:cstheme="minorHAnsi"/>
          <w:i/>
        </w:rPr>
        <w:t>Харчите собствените си пари за някой друг. Имате стимул да икономисвате, но не и стимул  да получите възможно най-голяма с</w:t>
      </w:r>
      <w:bookmarkStart w:id="13" w:name="_GoBack"/>
      <w:bookmarkEnd w:id="13"/>
      <w:r w:rsidRPr="00950C07">
        <w:rPr>
          <w:rFonts w:cstheme="minorHAnsi"/>
          <w:i/>
        </w:rPr>
        <w:t>тойност срещу парите си.</w:t>
      </w:r>
    </w:p>
    <w:p w14:paraId="534FE057" w14:textId="77777777" w:rsidR="002C08EE" w:rsidRPr="00950C07" w:rsidRDefault="002C08EE" w:rsidP="00CD13DC">
      <w:pPr>
        <w:pStyle w:val="ListParagraph"/>
        <w:numPr>
          <w:ilvl w:val="0"/>
          <w:numId w:val="11"/>
        </w:numPr>
        <w:spacing w:before="120" w:after="0" w:line="240" w:lineRule="auto"/>
        <w:contextualSpacing w:val="0"/>
        <w:jc w:val="both"/>
        <w:rPr>
          <w:rFonts w:cstheme="minorHAnsi"/>
          <w:i/>
        </w:rPr>
      </w:pPr>
      <w:r w:rsidRPr="00950C07">
        <w:rPr>
          <w:rFonts w:cstheme="minorHAnsi"/>
          <w:i/>
        </w:rPr>
        <w:t>Харчите чужди пари за себе си. Нямате особен стимул да намалите цената, но имате силен стимул да получите стойността на парите си.</w:t>
      </w:r>
    </w:p>
    <w:p w14:paraId="75E08C4B" w14:textId="77777777" w:rsidR="0012269D" w:rsidRDefault="002C08EE" w:rsidP="00CD13DC">
      <w:pPr>
        <w:pStyle w:val="ListParagraph"/>
        <w:numPr>
          <w:ilvl w:val="0"/>
          <w:numId w:val="11"/>
        </w:numPr>
        <w:spacing w:before="120" w:after="0" w:line="240" w:lineRule="auto"/>
        <w:contextualSpacing w:val="0"/>
        <w:jc w:val="both"/>
        <w:rPr>
          <w:rFonts w:cstheme="minorHAnsi"/>
          <w:i/>
        </w:rPr>
      </w:pPr>
      <w:r w:rsidRPr="00950C07">
        <w:rPr>
          <w:rFonts w:cstheme="minorHAnsi"/>
          <w:i/>
        </w:rPr>
        <w:t xml:space="preserve">Харчите чужди пари за някой друг. Нямате стимул нито да икономисвате, нито да получите най-голяма стойност срещу парите си. </w:t>
      </w:r>
    </w:p>
    <w:p w14:paraId="40539C91" w14:textId="60180391" w:rsidR="00F11F1B" w:rsidRDefault="002C08EE" w:rsidP="00CD13DC">
      <w:pPr>
        <w:spacing w:before="120" w:after="0" w:line="240" w:lineRule="auto"/>
        <w:jc w:val="both"/>
        <w:rPr>
          <w:rFonts w:cstheme="minorHAnsi"/>
          <w:i/>
        </w:rPr>
      </w:pPr>
      <w:r w:rsidRPr="0012269D">
        <w:rPr>
          <w:rFonts w:cstheme="minorHAnsi"/>
          <w:i/>
        </w:rPr>
        <w:t>Бюрократите харчат чужди пари за някой друг.</w:t>
      </w:r>
      <w:r w:rsidR="003E2752" w:rsidRPr="0012269D">
        <w:rPr>
          <w:rFonts w:cstheme="minorHAnsi"/>
          <w:i/>
        </w:rPr>
        <w:t xml:space="preserve"> </w:t>
      </w:r>
      <w:r w:rsidRPr="0012269D">
        <w:rPr>
          <w:rFonts w:cstheme="minorHAnsi"/>
          <w:i/>
        </w:rPr>
        <w:t>Единствената гаранция, че те ще изхарчат парите по най-полезния за бенефициента начин, е тяхната почтеност, а не далеч по-силната и надеждна подбуда на личния интерес. Оттам идват разточителността и неефективността на разходите.</w:t>
      </w:r>
      <w:r w:rsidR="00172A67" w:rsidRPr="0012269D">
        <w:rPr>
          <w:rFonts w:cstheme="minorHAnsi"/>
          <w:i/>
        </w:rPr>
        <w:t>“</w:t>
      </w:r>
      <w:bookmarkStart w:id="14" w:name="_Toc216178138"/>
    </w:p>
    <w:p w14:paraId="144DBA81" w14:textId="77777777" w:rsidR="005A607B" w:rsidRPr="008861B6" w:rsidRDefault="005A607B" w:rsidP="00CD13DC">
      <w:pPr>
        <w:spacing w:before="120" w:after="0" w:line="240" w:lineRule="auto"/>
        <w:jc w:val="both"/>
        <w:rPr>
          <w:rFonts w:cstheme="minorHAnsi"/>
          <w:i/>
        </w:rPr>
      </w:pPr>
    </w:p>
    <w:p w14:paraId="06478BDB" w14:textId="79D3759A" w:rsidR="007E3228" w:rsidRPr="008861B6" w:rsidRDefault="007E3228" w:rsidP="00CD13DC">
      <w:pPr>
        <w:pStyle w:val="Heading2"/>
        <w:spacing w:before="120" w:line="240" w:lineRule="auto"/>
        <w:rPr>
          <w:rFonts w:cstheme="minorHAnsi"/>
          <w:i/>
          <w:color w:val="595959" w:themeColor="text1" w:themeTint="A6"/>
        </w:rPr>
      </w:pPr>
      <w:bookmarkStart w:id="15" w:name="_Toc82520996"/>
      <w:r w:rsidRPr="008861B6">
        <w:rPr>
          <w:rFonts w:cstheme="minorHAnsi"/>
          <w:i/>
          <w:color w:val="595959" w:themeColor="text1" w:themeTint="A6"/>
        </w:rPr>
        <w:t>Индикатори за успех и провал</w:t>
      </w:r>
      <w:bookmarkEnd w:id="15"/>
    </w:p>
    <w:p w14:paraId="01CCF43B" w14:textId="0B1361A6" w:rsidR="007F7703" w:rsidRPr="00950C07" w:rsidRDefault="007F7703" w:rsidP="00CD13DC">
      <w:pPr>
        <w:autoSpaceDE w:val="0"/>
        <w:autoSpaceDN w:val="0"/>
        <w:adjustRightInd w:val="0"/>
        <w:spacing w:before="120" w:after="0" w:line="240" w:lineRule="auto"/>
        <w:jc w:val="both"/>
        <w:rPr>
          <w:rFonts w:cstheme="minorHAnsi"/>
        </w:rPr>
      </w:pPr>
      <w:r w:rsidRPr="00950C07">
        <w:rPr>
          <w:rFonts w:cstheme="minorHAnsi"/>
        </w:rPr>
        <w:t xml:space="preserve">За целите на изследването правителственият </w:t>
      </w:r>
      <w:r w:rsidR="00470D8A">
        <w:rPr>
          <w:rFonts w:cstheme="minorHAnsi"/>
        </w:rPr>
        <w:t>„</w:t>
      </w:r>
      <w:r w:rsidRPr="008861B6">
        <w:rPr>
          <w:rFonts w:cstheme="minorHAnsi"/>
          <w:b/>
          <w:color w:val="C0504D" w:themeColor="accent2"/>
        </w:rPr>
        <w:t>провал</w:t>
      </w:r>
      <w:r w:rsidR="00470D8A">
        <w:rPr>
          <w:rFonts w:cstheme="minorHAnsi"/>
          <w:b/>
        </w:rPr>
        <w:t>“</w:t>
      </w:r>
      <w:r w:rsidRPr="00950C07">
        <w:rPr>
          <w:rFonts w:cstheme="minorHAnsi"/>
        </w:rPr>
        <w:t xml:space="preserve"> се определя като </w:t>
      </w:r>
      <w:proofErr w:type="spellStart"/>
      <w:r w:rsidRPr="00950C07">
        <w:rPr>
          <w:rFonts w:cstheme="minorHAnsi"/>
          <w:b/>
        </w:rPr>
        <w:t>непостигане</w:t>
      </w:r>
      <w:proofErr w:type="spellEnd"/>
      <w:r w:rsidRPr="00950C07">
        <w:rPr>
          <w:rFonts w:cstheme="minorHAnsi"/>
          <w:b/>
        </w:rPr>
        <w:t xml:space="preserve"> на желания резултат</w:t>
      </w:r>
      <w:r w:rsidRPr="00950C07">
        <w:rPr>
          <w:rFonts w:cstheme="minorHAnsi"/>
        </w:rPr>
        <w:t xml:space="preserve"> от дадена програма или дейност</w:t>
      </w:r>
      <w:r w:rsidR="000875EF" w:rsidRPr="00950C07">
        <w:rPr>
          <w:rFonts w:cstheme="minorHAnsi"/>
        </w:rPr>
        <w:t>, както и струпване на представените по-долу критерии за провал</w:t>
      </w:r>
      <w:r w:rsidRPr="00950C07">
        <w:rPr>
          <w:rFonts w:cstheme="minorHAnsi"/>
        </w:rPr>
        <w:t>. Подобна дефиниция е по-тясна от обикновено използваната, която нормално би включвала и оценка на ефикасността на програмата. Анализът ни има за цел да установи има ли проблеми при подготовката на дадена програма или дейност, нейното изпълнение и постигнатата степен на ефективност.</w:t>
      </w:r>
    </w:p>
    <w:p w14:paraId="2EC21A3B" w14:textId="6A608745" w:rsidR="00601A8E" w:rsidRPr="00950C07" w:rsidRDefault="007F7703" w:rsidP="00CD13DC">
      <w:pPr>
        <w:autoSpaceDE w:val="0"/>
        <w:autoSpaceDN w:val="0"/>
        <w:adjustRightInd w:val="0"/>
        <w:spacing w:before="120" w:after="0" w:line="240" w:lineRule="auto"/>
        <w:jc w:val="both"/>
        <w:rPr>
          <w:rFonts w:cstheme="minorHAnsi"/>
          <w:lang w:val="en-US"/>
        </w:rPr>
      </w:pPr>
      <w:r w:rsidRPr="00950C07">
        <w:rPr>
          <w:rFonts w:cstheme="minorHAnsi"/>
        </w:rPr>
        <w:t xml:space="preserve">Правителственият </w:t>
      </w:r>
      <w:r w:rsidR="00470D8A">
        <w:rPr>
          <w:rFonts w:cstheme="minorHAnsi"/>
        </w:rPr>
        <w:t>„</w:t>
      </w:r>
      <w:r w:rsidRPr="0012269D">
        <w:rPr>
          <w:rFonts w:cstheme="minorHAnsi"/>
          <w:b/>
          <w:color w:val="69A12B"/>
        </w:rPr>
        <w:t>успех</w:t>
      </w:r>
      <w:r w:rsidR="00470D8A">
        <w:rPr>
          <w:rFonts w:cstheme="minorHAnsi"/>
          <w:b/>
        </w:rPr>
        <w:t>“</w:t>
      </w:r>
      <w:r w:rsidRPr="00950C07">
        <w:rPr>
          <w:rFonts w:cstheme="minorHAnsi"/>
        </w:rPr>
        <w:t xml:space="preserve"> в настоящето изследване се определя като програма, дейност или инициатива, при управлението на която отсъстват изброените индикатори за провал и се постигат до голяма степен заложените цели. Най-голяма тежест за класифицирането на всеки отделен случай като успех или провал има изпълнението/неизпълнението на </w:t>
      </w:r>
      <w:r w:rsidRPr="00950C07">
        <w:rPr>
          <w:rFonts w:cstheme="minorHAnsi"/>
          <w:b/>
        </w:rPr>
        <w:t>поставената цел</w:t>
      </w:r>
      <w:r w:rsidRPr="00950C07">
        <w:rPr>
          <w:rFonts w:cstheme="minorHAnsi"/>
        </w:rPr>
        <w:t>.</w:t>
      </w:r>
      <w:bookmarkStart w:id="16" w:name="_Toc279481466"/>
      <w:bookmarkStart w:id="17" w:name="_Toc279481541"/>
      <w:bookmarkStart w:id="18" w:name="_Toc279486955"/>
      <w:bookmarkStart w:id="19" w:name="_Toc279487210"/>
    </w:p>
    <w:p w14:paraId="67751603" w14:textId="77777777" w:rsidR="007F7703" w:rsidRPr="00950C07" w:rsidRDefault="007F7703" w:rsidP="00CD13DC">
      <w:pPr>
        <w:spacing w:before="120" w:after="0" w:line="240" w:lineRule="auto"/>
        <w:rPr>
          <w:rFonts w:cstheme="minorHAnsi"/>
        </w:rPr>
      </w:pPr>
      <w:r w:rsidRPr="00950C07">
        <w:rPr>
          <w:rFonts w:cstheme="minorHAnsi"/>
          <w:noProof/>
          <w:lang w:val="en-US" w:eastAsia="en-US"/>
        </w:rPr>
        <w:drawing>
          <wp:inline distT="0" distB="0" distL="0" distR="0" wp14:anchorId="771F440D" wp14:editId="7DE7BB62">
            <wp:extent cx="5724525" cy="5362575"/>
            <wp:effectExtent l="0" t="0" r="9525"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DA5400" w14:textId="4BBA8310" w:rsidR="007F7703" w:rsidRPr="00950C07" w:rsidRDefault="007F7703" w:rsidP="00CD13DC">
      <w:pPr>
        <w:autoSpaceDE w:val="0"/>
        <w:autoSpaceDN w:val="0"/>
        <w:adjustRightInd w:val="0"/>
        <w:spacing w:before="120" w:after="0" w:line="240" w:lineRule="auto"/>
        <w:jc w:val="both"/>
        <w:rPr>
          <w:rFonts w:cstheme="minorHAnsi"/>
        </w:rPr>
      </w:pPr>
      <w:r w:rsidRPr="00950C07">
        <w:rPr>
          <w:rFonts w:cstheme="minorHAnsi"/>
        </w:rPr>
        <w:t xml:space="preserve">В случаите, когато са налице частични индикации както за провал, така и за успех, правителствените програми остават </w:t>
      </w:r>
      <w:r w:rsidRPr="00950C07">
        <w:rPr>
          <w:rFonts w:cstheme="minorHAnsi"/>
          <w:b/>
        </w:rPr>
        <w:t>некласифицирани</w:t>
      </w:r>
      <w:r w:rsidRPr="00950C07">
        <w:rPr>
          <w:rFonts w:cstheme="minorHAnsi"/>
        </w:rPr>
        <w:t>, тоест не ги причисляваме нито към успехите, нито към провалите на българските правителства. Това се прави с цел по-ясно разграничаване на успехите и провалите, което би било невъзможно при липсата на подобен „буфер” между тях, особено като се вземе предвид недостатъчната</w:t>
      </w:r>
      <w:r w:rsidR="00470D8A">
        <w:rPr>
          <w:rFonts w:cstheme="minorHAnsi"/>
        </w:rPr>
        <w:t>,</w:t>
      </w:r>
      <w:r w:rsidRPr="00950C07">
        <w:rPr>
          <w:rFonts w:cstheme="minorHAnsi"/>
        </w:rPr>
        <w:t xml:space="preserve"> в някои случаи</w:t>
      </w:r>
      <w:r w:rsidR="00470D8A">
        <w:rPr>
          <w:rFonts w:cstheme="minorHAnsi"/>
        </w:rPr>
        <w:t>,</w:t>
      </w:r>
      <w:r w:rsidRPr="00950C07">
        <w:rPr>
          <w:rFonts w:cstheme="minorHAnsi"/>
        </w:rPr>
        <w:t xml:space="preserve"> информация.</w:t>
      </w:r>
    </w:p>
    <w:p w14:paraId="2FEE5B69" w14:textId="0C6A9004" w:rsidR="00F11F1B" w:rsidRDefault="008A419F" w:rsidP="00CD13DC">
      <w:pPr>
        <w:autoSpaceDE w:val="0"/>
        <w:autoSpaceDN w:val="0"/>
        <w:adjustRightInd w:val="0"/>
        <w:spacing w:before="120" w:after="0" w:line="240" w:lineRule="auto"/>
        <w:jc w:val="both"/>
        <w:rPr>
          <w:rFonts w:cstheme="minorHAnsi"/>
        </w:rPr>
      </w:pPr>
      <w:r w:rsidRPr="00950C07">
        <w:rPr>
          <w:rFonts w:cstheme="minorHAnsi"/>
        </w:rPr>
        <w:t xml:space="preserve">При оценката на различните случаи са използвани </w:t>
      </w:r>
      <w:r w:rsidRPr="00950C07">
        <w:rPr>
          <w:rFonts w:cstheme="minorHAnsi"/>
          <w:b/>
        </w:rPr>
        <w:t>единствено и само</w:t>
      </w:r>
      <w:r w:rsidRPr="00950C07">
        <w:rPr>
          <w:rFonts w:cstheme="minorHAnsi"/>
        </w:rPr>
        <w:t xml:space="preserve"> заключения от од</w:t>
      </w:r>
      <w:r w:rsidR="006A3432">
        <w:rPr>
          <w:rFonts w:cstheme="minorHAnsi"/>
        </w:rPr>
        <w:t>итните доклади</w:t>
      </w:r>
      <w:r w:rsidR="00167DE4">
        <w:rPr>
          <w:rFonts w:cstheme="minorHAnsi"/>
        </w:rPr>
        <w:t xml:space="preserve"> на Сметната палата</w:t>
      </w:r>
      <w:r w:rsidRPr="00950C07">
        <w:rPr>
          <w:rFonts w:cstheme="minorHAnsi"/>
        </w:rPr>
        <w:t>.</w:t>
      </w:r>
      <w:bookmarkEnd w:id="14"/>
      <w:bookmarkEnd w:id="16"/>
      <w:bookmarkEnd w:id="17"/>
      <w:bookmarkEnd w:id="18"/>
      <w:bookmarkEnd w:id="19"/>
    </w:p>
    <w:p w14:paraId="6F23A325" w14:textId="77777777" w:rsidR="00C91EC5" w:rsidRDefault="00C91EC5" w:rsidP="00CD13DC">
      <w:pPr>
        <w:autoSpaceDE w:val="0"/>
        <w:autoSpaceDN w:val="0"/>
        <w:adjustRightInd w:val="0"/>
        <w:spacing w:before="120" w:after="0" w:line="240" w:lineRule="auto"/>
        <w:jc w:val="both"/>
        <w:rPr>
          <w:rFonts w:cstheme="minorHAnsi"/>
        </w:rPr>
      </w:pPr>
    </w:p>
    <w:p w14:paraId="33368AEF" w14:textId="225848D2" w:rsidR="007F7703" w:rsidRPr="008861B6" w:rsidRDefault="007F7703" w:rsidP="00CD13DC">
      <w:pPr>
        <w:pStyle w:val="Heading2"/>
        <w:spacing w:before="120" w:line="240" w:lineRule="auto"/>
        <w:rPr>
          <w:rFonts w:cstheme="minorHAnsi"/>
          <w:i/>
          <w:color w:val="595959" w:themeColor="text1" w:themeTint="A6"/>
        </w:rPr>
      </w:pPr>
      <w:bookmarkStart w:id="20" w:name="_Toc82520997"/>
      <w:r w:rsidRPr="008861B6">
        <w:rPr>
          <w:rFonts w:cstheme="minorHAnsi"/>
          <w:i/>
          <w:color w:val="595959" w:themeColor="text1" w:themeTint="A6"/>
        </w:rPr>
        <w:t>Времеви обхват</w:t>
      </w:r>
      <w:bookmarkEnd w:id="20"/>
    </w:p>
    <w:p w14:paraId="4E7CC864" w14:textId="76491228" w:rsidR="007F7703" w:rsidRPr="00950C07" w:rsidRDefault="007F7703" w:rsidP="00CD13DC">
      <w:pPr>
        <w:autoSpaceDE w:val="0"/>
        <w:autoSpaceDN w:val="0"/>
        <w:adjustRightInd w:val="0"/>
        <w:spacing w:before="120" w:after="0" w:line="240" w:lineRule="auto"/>
        <w:jc w:val="both"/>
        <w:rPr>
          <w:rFonts w:cstheme="minorHAnsi"/>
        </w:rPr>
      </w:pPr>
      <w:r w:rsidRPr="00950C07">
        <w:rPr>
          <w:rFonts w:cstheme="minorHAnsi"/>
        </w:rPr>
        <w:t xml:space="preserve">Настоящото изследване добавя </w:t>
      </w:r>
      <w:r w:rsidR="00EB7EE7" w:rsidRPr="00950C07">
        <w:rPr>
          <w:rFonts w:cstheme="minorHAnsi"/>
          <w:b/>
        </w:rPr>
        <w:t>6</w:t>
      </w:r>
      <w:r w:rsidR="0012269D">
        <w:rPr>
          <w:rFonts w:cstheme="minorHAnsi"/>
          <w:b/>
        </w:rPr>
        <w:t>9</w:t>
      </w:r>
      <w:r w:rsidR="00EB7EE7" w:rsidRPr="00950C07">
        <w:rPr>
          <w:rFonts w:cstheme="minorHAnsi"/>
          <w:b/>
        </w:rPr>
        <w:t xml:space="preserve"> </w:t>
      </w:r>
      <w:r w:rsidRPr="00950C07">
        <w:rPr>
          <w:rFonts w:cstheme="minorHAnsi"/>
          <w:b/>
        </w:rPr>
        <w:t>нови доклада</w:t>
      </w:r>
      <w:r w:rsidRPr="00950C07">
        <w:rPr>
          <w:rFonts w:cstheme="minorHAnsi"/>
        </w:rPr>
        <w:t xml:space="preserve"> към разгледани</w:t>
      </w:r>
      <w:r w:rsidR="003A6843">
        <w:rPr>
          <w:rFonts w:cstheme="minorHAnsi"/>
        </w:rPr>
        <w:t>те</w:t>
      </w:r>
      <w:r w:rsidRPr="00950C07">
        <w:rPr>
          <w:rFonts w:cstheme="minorHAnsi"/>
        </w:rPr>
        <w:t xml:space="preserve"> в първите </w:t>
      </w:r>
      <w:r w:rsidR="0012269D">
        <w:rPr>
          <w:rFonts w:cstheme="minorHAnsi"/>
        </w:rPr>
        <w:t>шест</w:t>
      </w:r>
      <w:r w:rsidRPr="00950C07">
        <w:rPr>
          <w:rFonts w:cstheme="minorHAnsi"/>
        </w:rPr>
        <w:t xml:space="preserve"> издания</w:t>
      </w:r>
      <w:r w:rsidR="00610A1F">
        <w:rPr>
          <w:rFonts w:cstheme="minorHAnsi"/>
        </w:rPr>
        <w:t xml:space="preserve"> </w:t>
      </w:r>
      <w:r w:rsidR="0012269D">
        <w:rPr>
          <w:rFonts w:cstheme="minorHAnsi"/>
        </w:rPr>
        <w:t>966</w:t>
      </w:r>
      <w:r w:rsidR="00610A1F">
        <w:rPr>
          <w:rFonts w:cstheme="minorHAnsi"/>
        </w:rPr>
        <w:t xml:space="preserve"> доклада</w:t>
      </w:r>
      <w:r w:rsidRPr="00950C07">
        <w:rPr>
          <w:rFonts w:cstheme="minorHAnsi"/>
        </w:rPr>
        <w:t xml:space="preserve">, с което общият брой на оценените програми и дейности на администрацията </w:t>
      </w:r>
      <w:r w:rsidR="006A3432">
        <w:rPr>
          <w:rFonts w:cstheme="minorHAnsi"/>
        </w:rPr>
        <w:t xml:space="preserve">в одитните доклади </w:t>
      </w:r>
      <w:r w:rsidRPr="00950C07">
        <w:rPr>
          <w:rFonts w:cstheme="minorHAnsi"/>
        </w:rPr>
        <w:t xml:space="preserve">достига </w:t>
      </w:r>
      <w:r w:rsidR="0012269D">
        <w:rPr>
          <w:rFonts w:cstheme="minorHAnsi"/>
        </w:rPr>
        <w:t>1035</w:t>
      </w:r>
      <w:r w:rsidRPr="00950C07">
        <w:rPr>
          <w:rFonts w:cstheme="minorHAnsi"/>
        </w:rPr>
        <w:t xml:space="preserve">, които се отнасят за </w:t>
      </w:r>
      <w:r w:rsidRPr="00950C07">
        <w:rPr>
          <w:rFonts w:cstheme="minorHAnsi"/>
          <w:b/>
        </w:rPr>
        <w:t xml:space="preserve">периода от 1998 до </w:t>
      </w:r>
      <w:r w:rsidR="0012269D">
        <w:rPr>
          <w:rFonts w:cstheme="minorHAnsi"/>
          <w:b/>
        </w:rPr>
        <w:t>началото на 2020</w:t>
      </w:r>
      <w:r w:rsidR="00EB7EE7" w:rsidRPr="00950C07">
        <w:rPr>
          <w:rFonts w:cstheme="minorHAnsi"/>
          <w:b/>
        </w:rPr>
        <w:t xml:space="preserve"> </w:t>
      </w:r>
      <w:r w:rsidRPr="00950C07">
        <w:rPr>
          <w:rFonts w:cstheme="minorHAnsi"/>
          <w:b/>
        </w:rPr>
        <w:t>година</w:t>
      </w:r>
      <w:r w:rsidRPr="00950C07">
        <w:rPr>
          <w:rFonts w:cstheme="minorHAnsi"/>
        </w:rPr>
        <w:t>.</w:t>
      </w:r>
      <w:r w:rsidR="00932470" w:rsidRPr="00950C07">
        <w:rPr>
          <w:rFonts w:cstheme="minorHAnsi"/>
        </w:rPr>
        <w:t xml:space="preserve"> В работата на Сметната палата през последните години се забелязва намаляване на броя на одитираните </w:t>
      </w:r>
      <w:r w:rsidR="003A6843">
        <w:rPr>
          <w:rFonts w:cstheme="minorHAnsi"/>
        </w:rPr>
        <w:t>структури</w:t>
      </w:r>
      <w:r w:rsidR="00932470" w:rsidRPr="00950C07">
        <w:rPr>
          <w:rFonts w:cstheme="minorHAnsi"/>
        </w:rPr>
        <w:t xml:space="preserve"> и програми и увеличаване на обема на одитните доклади. </w:t>
      </w:r>
    </w:p>
    <w:p w14:paraId="10132C96" w14:textId="28A6C464" w:rsidR="004E2E7C" w:rsidRPr="005B1BE4" w:rsidRDefault="001639D4" w:rsidP="00CD13DC">
      <w:pPr>
        <w:autoSpaceDE w:val="0"/>
        <w:autoSpaceDN w:val="0"/>
        <w:adjustRightInd w:val="0"/>
        <w:spacing w:before="120" w:after="0" w:line="240" w:lineRule="auto"/>
        <w:jc w:val="both"/>
        <w:rPr>
          <w:rFonts w:cstheme="minorHAnsi"/>
          <w:i/>
          <w:sz w:val="18"/>
          <w:szCs w:val="18"/>
        </w:rPr>
      </w:pPr>
      <w:r>
        <w:rPr>
          <w:rFonts w:cstheme="minorHAnsi"/>
        </w:rPr>
        <w:t>На графиката по-долу</w:t>
      </w:r>
      <w:r w:rsidR="007F7703" w:rsidRPr="00950C07">
        <w:rPr>
          <w:rFonts w:cstheme="minorHAnsi"/>
        </w:rPr>
        <w:t xml:space="preserve"> са показани броят и времевият обхват на разгледаните във </w:t>
      </w:r>
      <w:r w:rsidR="00932470" w:rsidRPr="00950C07">
        <w:rPr>
          <w:rFonts w:cstheme="minorHAnsi"/>
        </w:rPr>
        <w:t>всички</w:t>
      </w:r>
      <w:r w:rsidR="007F7703" w:rsidRPr="00950C07">
        <w:rPr>
          <w:rFonts w:cstheme="minorHAnsi"/>
        </w:rPr>
        <w:t xml:space="preserve"> издания на анализа доклади. Одитите на Сметната палата често се извършват с една или две години закъснение и включват оценка на дейности и програми, които нерядко </w:t>
      </w:r>
      <w:r w:rsidR="007F7703" w:rsidRPr="00950C07">
        <w:rPr>
          <w:rFonts w:cstheme="minorHAnsi"/>
          <w:b/>
        </w:rPr>
        <w:t>обхващат повече от една година</w:t>
      </w:r>
      <w:r w:rsidR="007F7703" w:rsidRPr="00950C07">
        <w:rPr>
          <w:rFonts w:cstheme="minorHAnsi"/>
        </w:rPr>
        <w:t xml:space="preserve">. Затова общият брой на разгледаните случаи по години е по-голям от броя на докладите. </w:t>
      </w:r>
    </w:p>
    <w:p w14:paraId="1CABCCE8" w14:textId="77777777" w:rsidR="002928CD" w:rsidRDefault="002928CD" w:rsidP="00CD13DC">
      <w:pPr>
        <w:keepNext/>
        <w:autoSpaceDE w:val="0"/>
        <w:autoSpaceDN w:val="0"/>
        <w:adjustRightInd w:val="0"/>
        <w:spacing w:before="120" w:after="0" w:line="240" w:lineRule="auto"/>
        <w:rPr>
          <w:rFonts w:cstheme="minorHAnsi"/>
          <w:b/>
        </w:rPr>
      </w:pPr>
    </w:p>
    <w:p w14:paraId="4AA22F5D" w14:textId="6B023F1A" w:rsidR="007F7703" w:rsidRDefault="007F7703" w:rsidP="004C0B5B">
      <w:pPr>
        <w:keepNext/>
        <w:shd w:val="clear" w:color="auto" w:fill="BFBFBF" w:themeFill="background1" w:themeFillShade="BF"/>
        <w:autoSpaceDE w:val="0"/>
        <w:autoSpaceDN w:val="0"/>
        <w:adjustRightInd w:val="0"/>
        <w:spacing w:after="0" w:line="240" w:lineRule="auto"/>
        <w:jc w:val="center"/>
        <w:rPr>
          <w:rFonts w:cstheme="minorHAnsi"/>
        </w:rPr>
      </w:pPr>
      <w:r w:rsidRPr="00950C07">
        <w:rPr>
          <w:rFonts w:cstheme="minorHAnsi"/>
          <w:b/>
        </w:rPr>
        <w:t>Разгледани случаи по години</w:t>
      </w:r>
      <w:r w:rsidR="004C0B5B">
        <w:rPr>
          <w:rFonts w:cstheme="minorHAnsi"/>
        </w:rPr>
        <w:t>, брой</w:t>
      </w:r>
    </w:p>
    <w:p w14:paraId="3002AEE5" w14:textId="6EB4DB89" w:rsidR="004C0B5B" w:rsidRPr="004C0B5B" w:rsidRDefault="004C0B5B" w:rsidP="004C0B5B">
      <w:pPr>
        <w:keepNext/>
        <w:shd w:val="clear" w:color="auto" w:fill="BFBFBF" w:themeFill="background1" w:themeFillShade="BF"/>
        <w:autoSpaceDE w:val="0"/>
        <w:autoSpaceDN w:val="0"/>
        <w:adjustRightInd w:val="0"/>
        <w:spacing w:after="0" w:line="240" w:lineRule="auto"/>
        <w:jc w:val="center"/>
        <w:rPr>
          <w:rFonts w:cstheme="minorHAnsi"/>
          <w:sz w:val="20"/>
          <w:szCs w:val="20"/>
        </w:rPr>
      </w:pPr>
      <w:r w:rsidRPr="004C0B5B">
        <w:rPr>
          <w:rFonts w:cstheme="minorHAnsi"/>
          <w:bCs/>
          <w:sz w:val="20"/>
          <w:szCs w:val="20"/>
        </w:rPr>
        <w:t>(ИПИ по данни на Сметната палата)</w:t>
      </w:r>
    </w:p>
    <w:p w14:paraId="4AFFD774" w14:textId="690252C4" w:rsidR="00DB747A" w:rsidRPr="00950C07" w:rsidRDefault="005B1BE4" w:rsidP="00CD13DC">
      <w:pPr>
        <w:autoSpaceDE w:val="0"/>
        <w:autoSpaceDN w:val="0"/>
        <w:adjustRightInd w:val="0"/>
        <w:spacing w:before="120" w:after="0" w:line="240" w:lineRule="auto"/>
        <w:jc w:val="center"/>
        <w:rPr>
          <w:rFonts w:cstheme="minorHAnsi"/>
          <w:b/>
        </w:rPr>
      </w:pPr>
      <w:r>
        <w:rPr>
          <w:noProof/>
          <w:lang w:val="en-US" w:eastAsia="en-US"/>
        </w:rPr>
        <w:drawing>
          <wp:inline distT="0" distB="0" distL="0" distR="0" wp14:anchorId="192E19AC" wp14:editId="74B893BB">
            <wp:extent cx="5760720" cy="30003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D7ECBC" w14:textId="226DE63B" w:rsidR="007F7703" w:rsidRPr="008861B6" w:rsidRDefault="007F7703" w:rsidP="00CD13DC">
      <w:pPr>
        <w:autoSpaceDE w:val="0"/>
        <w:autoSpaceDN w:val="0"/>
        <w:adjustRightInd w:val="0"/>
        <w:spacing w:before="120" w:after="0" w:line="240" w:lineRule="auto"/>
        <w:jc w:val="both"/>
        <w:rPr>
          <w:rFonts w:cstheme="minorHAnsi"/>
          <w:i/>
          <w:sz w:val="18"/>
          <w:szCs w:val="18"/>
        </w:rPr>
      </w:pPr>
      <w:r w:rsidRPr="00950C07">
        <w:rPr>
          <w:rFonts w:cstheme="minorHAnsi"/>
          <w:i/>
          <w:sz w:val="18"/>
          <w:szCs w:val="18"/>
        </w:rPr>
        <w:t>Забележка: Тъй като одитите на Сметната палата често се извършват с една-две години закъснение, всички публикувани доклади се отнасят за минали периоди.</w:t>
      </w:r>
      <w:r w:rsidR="00F0458B" w:rsidRPr="00950C07">
        <w:rPr>
          <w:rFonts w:cstheme="minorHAnsi"/>
          <w:i/>
          <w:sz w:val="18"/>
          <w:szCs w:val="18"/>
        </w:rPr>
        <w:t xml:space="preserve"> Одитите често обхващат повече от една година, поради което всеки доклад е включен </w:t>
      </w:r>
      <w:r w:rsidR="00E818E3" w:rsidRPr="00950C07">
        <w:rPr>
          <w:rFonts w:cstheme="minorHAnsi"/>
          <w:i/>
          <w:sz w:val="18"/>
          <w:szCs w:val="18"/>
        </w:rPr>
        <w:t>въ</w:t>
      </w:r>
      <w:r w:rsidR="00F0458B" w:rsidRPr="00950C07">
        <w:rPr>
          <w:rFonts w:cstheme="minorHAnsi"/>
          <w:i/>
          <w:sz w:val="18"/>
          <w:szCs w:val="18"/>
        </w:rPr>
        <w:t xml:space="preserve">в </w:t>
      </w:r>
      <w:r w:rsidR="00E818E3" w:rsidRPr="00950C07">
        <w:rPr>
          <w:rFonts w:cstheme="minorHAnsi"/>
          <w:i/>
          <w:sz w:val="18"/>
          <w:szCs w:val="18"/>
        </w:rPr>
        <w:t xml:space="preserve">всяка от </w:t>
      </w:r>
      <w:r w:rsidR="00F0458B" w:rsidRPr="00950C07">
        <w:rPr>
          <w:rFonts w:cstheme="minorHAnsi"/>
          <w:i/>
          <w:sz w:val="18"/>
          <w:szCs w:val="18"/>
        </w:rPr>
        <w:t xml:space="preserve">годините, за които се отнася. </w:t>
      </w:r>
    </w:p>
    <w:p w14:paraId="4BABAF7B" w14:textId="77777777" w:rsidR="002928CD" w:rsidRDefault="002928CD" w:rsidP="00CD13DC">
      <w:pPr>
        <w:pStyle w:val="Heading2"/>
        <w:spacing w:before="120" w:line="240" w:lineRule="auto"/>
        <w:rPr>
          <w:rFonts w:cstheme="minorHAnsi"/>
          <w:i/>
          <w:color w:val="595959" w:themeColor="text1" w:themeTint="A6"/>
        </w:rPr>
      </w:pPr>
    </w:p>
    <w:p w14:paraId="67A1C0DC" w14:textId="7CD327D2" w:rsidR="007F7703" w:rsidRPr="008861B6" w:rsidRDefault="007F7703" w:rsidP="00CD13DC">
      <w:pPr>
        <w:pStyle w:val="Heading2"/>
        <w:spacing w:before="120" w:line="240" w:lineRule="auto"/>
        <w:rPr>
          <w:rFonts w:cstheme="minorHAnsi"/>
          <w:i/>
          <w:color w:val="595959" w:themeColor="text1" w:themeTint="A6"/>
        </w:rPr>
      </w:pPr>
      <w:bookmarkStart w:id="21" w:name="_Toc82520998"/>
      <w:r w:rsidRPr="008861B6">
        <w:rPr>
          <w:rFonts w:cstheme="minorHAnsi"/>
          <w:i/>
          <w:color w:val="595959" w:themeColor="text1" w:themeTint="A6"/>
        </w:rPr>
        <w:t>Похарчени средства от държавния бюджет</w:t>
      </w:r>
      <w:bookmarkEnd w:id="21"/>
    </w:p>
    <w:p w14:paraId="4370AC96" w14:textId="16C17F40" w:rsidR="007F7703" w:rsidRPr="00950C07" w:rsidRDefault="007F7703" w:rsidP="00CD13DC">
      <w:pPr>
        <w:autoSpaceDE w:val="0"/>
        <w:autoSpaceDN w:val="0"/>
        <w:adjustRightInd w:val="0"/>
        <w:spacing w:before="120" w:after="0" w:line="240" w:lineRule="auto"/>
        <w:jc w:val="both"/>
        <w:rPr>
          <w:rFonts w:cstheme="minorHAnsi"/>
        </w:rPr>
      </w:pPr>
      <w:r w:rsidRPr="00950C07">
        <w:rPr>
          <w:rFonts w:cstheme="minorHAnsi"/>
        </w:rPr>
        <w:t>Данните в одитните доклади позволяват да се идентифицират разходите за около 70</w:t>
      </w:r>
      <w:r w:rsidR="00932470" w:rsidRPr="00950C07">
        <w:rPr>
          <w:rFonts w:cstheme="minorHAnsi"/>
        </w:rPr>
        <w:t>-75</w:t>
      </w:r>
      <w:r w:rsidRPr="00950C07">
        <w:rPr>
          <w:rFonts w:cstheme="minorHAnsi"/>
        </w:rPr>
        <w:t>% от всички прегледани одити.</w:t>
      </w:r>
      <w:r w:rsidR="00E9125C" w:rsidRPr="00950C07">
        <w:rPr>
          <w:rFonts w:cstheme="minorHAnsi"/>
        </w:rPr>
        <w:t xml:space="preserve"> При останалите </w:t>
      </w:r>
      <w:r w:rsidR="00932470" w:rsidRPr="00950C07">
        <w:rPr>
          <w:rFonts w:cstheme="minorHAnsi"/>
        </w:rPr>
        <w:t>25-</w:t>
      </w:r>
      <w:r w:rsidR="00E9125C" w:rsidRPr="00950C07">
        <w:rPr>
          <w:rFonts w:cstheme="minorHAnsi"/>
        </w:rPr>
        <w:t>30% е трудно да се разграничат конкретните разходи за одитираната дейност или структура.</w:t>
      </w:r>
      <w:r w:rsidR="005F221A" w:rsidRPr="00950C07">
        <w:rPr>
          <w:rFonts w:cstheme="minorHAnsi"/>
        </w:rPr>
        <w:t xml:space="preserve"> Те или не са описани в доклада, или е трудно да причислим извършените разходи към дейностите </w:t>
      </w:r>
      <w:r w:rsidR="001048FF" w:rsidRPr="00950C07">
        <w:rPr>
          <w:rFonts w:cstheme="minorHAnsi"/>
        </w:rPr>
        <w:t xml:space="preserve">само </w:t>
      </w:r>
      <w:r w:rsidR="005F221A" w:rsidRPr="00950C07">
        <w:rPr>
          <w:rFonts w:cstheme="minorHAnsi"/>
        </w:rPr>
        <w:t>по съответната програма</w:t>
      </w:r>
      <w:r w:rsidR="005B1BE4">
        <w:rPr>
          <w:rFonts w:cstheme="minorHAnsi"/>
        </w:rPr>
        <w:t xml:space="preserve"> и точно за одитирания период</w:t>
      </w:r>
      <w:r w:rsidR="005F221A" w:rsidRPr="00950C07">
        <w:rPr>
          <w:rFonts w:cstheme="minorHAnsi"/>
        </w:rPr>
        <w:t xml:space="preserve">. </w:t>
      </w:r>
      <w:r w:rsidR="00A65D4D" w:rsidRPr="00950C07">
        <w:rPr>
          <w:rFonts w:cstheme="minorHAnsi"/>
        </w:rPr>
        <w:t>За целите на изследването са посочени и класифицирани пълните разходи за програмите и ведомствата (когато са налични).</w:t>
      </w:r>
    </w:p>
    <w:p w14:paraId="5499C936" w14:textId="77777777" w:rsidR="007F7703" w:rsidRPr="00950C07" w:rsidRDefault="007F7703" w:rsidP="00CD13DC">
      <w:pPr>
        <w:autoSpaceDE w:val="0"/>
        <w:autoSpaceDN w:val="0"/>
        <w:adjustRightInd w:val="0"/>
        <w:spacing w:before="120" w:after="0" w:line="240" w:lineRule="auto"/>
        <w:jc w:val="both"/>
        <w:rPr>
          <w:rFonts w:cstheme="minorHAnsi"/>
        </w:rPr>
      </w:pPr>
      <w:r w:rsidRPr="00950C07">
        <w:rPr>
          <w:rFonts w:cstheme="minorHAnsi"/>
        </w:rPr>
        <w:t>В анализа са включвани единствено разходите за програми</w:t>
      </w:r>
      <w:r w:rsidR="00CC75FD" w:rsidRPr="00950C07">
        <w:rPr>
          <w:rFonts w:cstheme="minorHAnsi"/>
        </w:rPr>
        <w:t xml:space="preserve">, </w:t>
      </w:r>
      <w:r w:rsidRPr="00950C07">
        <w:rPr>
          <w:rFonts w:cstheme="minorHAnsi"/>
        </w:rPr>
        <w:t>проекти</w:t>
      </w:r>
      <w:r w:rsidR="00CC75FD" w:rsidRPr="00950C07">
        <w:rPr>
          <w:rFonts w:cstheme="minorHAnsi"/>
        </w:rPr>
        <w:t xml:space="preserve"> и </w:t>
      </w:r>
      <w:r w:rsidRPr="00950C07">
        <w:rPr>
          <w:rFonts w:cstheme="minorHAnsi"/>
        </w:rPr>
        <w:t>издръжка на ведомствата</w:t>
      </w:r>
      <w:r w:rsidR="00CC75FD" w:rsidRPr="00950C07">
        <w:rPr>
          <w:rFonts w:cstheme="minorHAnsi"/>
        </w:rPr>
        <w:t xml:space="preserve">, </w:t>
      </w:r>
      <w:r w:rsidR="00CC75FD" w:rsidRPr="00950C07">
        <w:rPr>
          <w:rFonts w:cstheme="minorHAnsi"/>
          <w:b/>
        </w:rPr>
        <w:t>финансирани</w:t>
      </w:r>
      <w:r w:rsidRPr="00950C07">
        <w:rPr>
          <w:rFonts w:cstheme="minorHAnsi"/>
          <w:b/>
        </w:rPr>
        <w:t xml:space="preserve"> от държавния бюджет</w:t>
      </w:r>
      <w:r w:rsidRPr="00950C07">
        <w:rPr>
          <w:rFonts w:cstheme="minorHAnsi"/>
        </w:rPr>
        <w:t>, т.е. при проектите и програмите с европейско финансиране е включен единствено размерът на националното съфинансиране</w:t>
      </w:r>
      <w:r w:rsidR="00E9125C" w:rsidRPr="00950C07">
        <w:rPr>
          <w:rFonts w:cstheme="minorHAnsi"/>
        </w:rPr>
        <w:t>, когато може да се определи точно</w:t>
      </w:r>
      <w:r w:rsidRPr="00950C07">
        <w:rPr>
          <w:rFonts w:cstheme="minorHAnsi"/>
        </w:rPr>
        <w:t>.</w:t>
      </w:r>
      <w:r w:rsidR="001048FF" w:rsidRPr="00950C07">
        <w:rPr>
          <w:rFonts w:cstheme="minorHAnsi"/>
        </w:rPr>
        <w:t xml:space="preserve"> Одитните доклади, които оценяват дейността на общините, също не са предмет на настоящия анализ. </w:t>
      </w:r>
    </w:p>
    <w:p w14:paraId="2AC90AD7" w14:textId="48BECAB2" w:rsidR="008861B6" w:rsidRDefault="00761A7E" w:rsidP="00CD13DC">
      <w:pPr>
        <w:autoSpaceDE w:val="0"/>
        <w:autoSpaceDN w:val="0"/>
        <w:adjustRightInd w:val="0"/>
        <w:spacing w:before="120" w:after="0" w:line="240" w:lineRule="auto"/>
        <w:jc w:val="both"/>
        <w:rPr>
          <w:rFonts w:cstheme="minorHAnsi"/>
        </w:rPr>
      </w:pPr>
      <w:r w:rsidRPr="00950C07">
        <w:rPr>
          <w:rFonts w:cstheme="minorHAnsi"/>
        </w:rPr>
        <w:t xml:space="preserve">Общата сума на новодобавените доклади е </w:t>
      </w:r>
      <w:r w:rsidR="007F3A54">
        <w:rPr>
          <w:rFonts w:cstheme="minorHAnsi"/>
        </w:rPr>
        <w:t>6,8</w:t>
      </w:r>
      <w:r w:rsidR="00D777CD" w:rsidRPr="00950C07">
        <w:rPr>
          <w:rFonts w:cstheme="minorHAnsi"/>
        </w:rPr>
        <w:t xml:space="preserve"> </w:t>
      </w:r>
      <w:r w:rsidRPr="00950C07">
        <w:rPr>
          <w:rFonts w:cstheme="minorHAnsi"/>
        </w:rPr>
        <w:t>млрд. л</w:t>
      </w:r>
      <w:r w:rsidR="00E9125C" w:rsidRPr="00950C07">
        <w:rPr>
          <w:rFonts w:cstheme="minorHAnsi"/>
        </w:rPr>
        <w:t>ева</w:t>
      </w:r>
      <w:r w:rsidR="005612D7" w:rsidRPr="00950C07">
        <w:rPr>
          <w:rFonts w:cstheme="minorHAnsi"/>
        </w:rPr>
        <w:t xml:space="preserve">, като по този начин общият размер на анализираните средства за целия двадесетгодишен период достига </w:t>
      </w:r>
      <w:r w:rsidR="007F3A54">
        <w:rPr>
          <w:rFonts w:cstheme="minorHAnsi"/>
        </w:rPr>
        <w:t>156</w:t>
      </w:r>
      <w:r w:rsidR="005612D7" w:rsidRPr="00950C07">
        <w:rPr>
          <w:rFonts w:cstheme="minorHAnsi"/>
        </w:rPr>
        <w:t xml:space="preserve"> млрд. лева.</w:t>
      </w:r>
      <w:r w:rsidRPr="00950C07">
        <w:rPr>
          <w:rFonts w:cstheme="minorHAnsi"/>
        </w:rPr>
        <w:t xml:space="preserve"> </w:t>
      </w:r>
    </w:p>
    <w:p w14:paraId="5A72E3C8" w14:textId="77777777" w:rsidR="008861B6" w:rsidRDefault="008861B6" w:rsidP="00CD13DC">
      <w:pPr>
        <w:spacing w:before="120" w:after="0" w:line="240" w:lineRule="auto"/>
        <w:rPr>
          <w:rFonts w:cstheme="minorHAnsi"/>
        </w:rPr>
      </w:pPr>
      <w:r>
        <w:rPr>
          <w:rFonts w:cstheme="minorHAnsi"/>
        </w:rPr>
        <w:br w:type="page"/>
      </w:r>
    </w:p>
    <w:p w14:paraId="20ADF200" w14:textId="5011B741" w:rsidR="007F7703" w:rsidRPr="008861B6" w:rsidRDefault="00804A08" w:rsidP="00CD13DC">
      <w:pPr>
        <w:pStyle w:val="Heading1"/>
        <w:shd w:val="clear" w:color="auto" w:fill="808080" w:themeFill="background1" w:themeFillShade="80"/>
        <w:spacing w:before="120"/>
        <w:rPr>
          <w:color w:val="FFFFFF" w:themeColor="background1"/>
        </w:rPr>
      </w:pPr>
      <w:bookmarkStart w:id="22" w:name="_Toc82520999"/>
      <w:r w:rsidRPr="008861B6">
        <w:rPr>
          <w:color w:val="FFFFFF" w:themeColor="background1"/>
        </w:rPr>
        <w:t>У</w:t>
      </w:r>
      <w:r w:rsidR="003214ED" w:rsidRPr="008861B6">
        <w:rPr>
          <w:color w:val="FFFFFF" w:themeColor="background1"/>
        </w:rPr>
        <w:t>спехите и провалите на българска</w:t>
      </w:r>
      <w:r w:rsidRPr="008861B6">
        <w:rPr>
          <w:color w:val="FFFFFF" w:themeColor="background1"/>
        </w:rPr>
        <w:t>т</w:t>
      </w:r>
      <w:r w:rsidR="003214ED" w:rsidRPr="008861B6">
        <w:rPr>
          <w:color w:val="FFFFFF" w:themeColor="background1"/>
        </w:rPr>
        <w:t>а</w:t>
      </w:r>
      <w:r w:rsidRPr="008861B6">
        <w:rPr>
          <w:color w:val="FFFFFF" w:themeColor="background1"/>
        </w:rPr>
        <w:t xml:space="preserve"> </w:t>
      </w:r>
      <w:r w:rsidR="003214ED" w:rsidRPr="008861B6">
        <w:rPr>
          <w:color w:val="FFFFFF" w:themeColor="background1"/>
        </w:rPr>
        <w:t>администрация</w:t>
      </w:r>
      <w:bookmarkEnd w:id="22"/>
    </w:p>
    <w:p w14:paraId="4C29AB1D" w14:textId="1C61DF82" w:rsidR="008A419F" w:rsidRPr="00950C07" w:rsidRDefault="008A419F" w:rsidP="00CD13DC">
      <w:pPr>
        <w:autoSpaceDE w:val="0"/>
        <w:autoSpaceDN w:val="0"/>
        <w:adjustRightInd w:val="0"/>
        <w:spacing w:before="120" w:after="0" w:line="240" w:lineRule="auto"/>
        <w:jc w:val="both"/>
        <w:rPr>
          <w:rFonts w:cstheme="minorHAnsi"/>
        </w:rPr>
      </w:pPr>
      <w:r w:rsidRPr="00950C07">
        <w:rPr>
          <w:rFonts w:cstheme="minorHAnsi"/>
        </w:rPr>
        <w:t xml:space="preserve">Новите </w:t>
      </w:r>
      <w:r w:rsidR="00167DE4">
        <w:rPr>
          <w:rFonts w:cstheme="minorHAnsi"/>
        </w:rPr>
        <w:t xml:space="preserve">69 </w:t>
      </w:r>
      <w:r w:rsidRPr="00950C07">
        <w:rPr>
          <w:rFonts w:cstheme="minorHAnsi"/>
        </w:rPr>
        <w:t>доклади</w:t>
      </w:r>
      <w:r w:rsidR="00167DE4">
        <w:rPr>
          <w:rFonts w:cstheme="minorHAnsi"/>
        </w:rPr>
        <w:t xml:space="preserve"> на обща стойност 6,8 млрд. лв.</w:t>
      </w:r>
      <w:r w:rsidRPr="00950C07">
        <w:rPr>
          <w:rFonts w:cstheme="minorHAnsi"/>
        </w:rPr>
        <w:t>, включени в това издание, отново разглеждат всички аспекти на работата на централната администрация – от заплатите</w:t>
      </w:r>
      <w:r w:rsidR="00E15123" w:rsidRPr="00950C07">
        <w:rPr>
          <w:rFonts w:cstheme="minorHAnsi"/>
        </w:rPr>
        <w:t xml:space="preserve"> и други видове разходи, до</w:t>
      </w:r>
      <w:r w:rsidRPr="00950C07">
        <w:rPr>
          <w:rFonts w:cstheme="minorHAnsi"/>
        </w:rPr>
        <w:t xml:space="preserve"> управлението на имуществото </w:t>
      </w:r>
      <w:r w:rsidR="00E15123" w:rsidRPr="00950C07">
        <w:rPr>
          <w:rFonts w:cstheme="minorHAnsi"/>
        </w:rPr>
        <w:t xml:space="preserve">и обществените поръчки </w:t>
      </w:r>
      <w:r w:rsidRPr="00950C07">
        <w:rPr>
          <w:rFonts w:cstheme="minorHAnsi"/>
        </w:rPr>
        <w:t>в държавните институции</w:t>
      </w:r>
      <w:r w:rsidR="00E15123" w:rsidRPr="00950C07">
        <w:rPr>
          <w:rFonts w:cstheme="minorHAnsi"/>
        </w:rPr>
        <w:t>,</w:t>
      </w:r>
      <w:r w:rsidRPr="00950C07">
        <w:rPr>
          <w:rFonts w:cstheme="minorHAnsi"/>
        </w:rPr>
        <w:t xml:space="preserve"> изпълнението на различни програми и администрирането на дейности, </w:t>
      </w:r>
      <w:r w:rsidR="003A6843">
        <w:rPr>
          <w:rFonts w:cstheme="minorHAnsi"/>
        </w:rPr>
        <w:t xml:space="preserve">за </w:t>
      </w:r>
      <w:r w:rsidRPr="00950C07">
        <w:rPr>
          <w:rFonts w:cstheme="minorHAnsi"/>
        </w:rPr>
        <w:t xml:space="preserve">които държавата </w:t>
      </w:r>
      <w:r w:rsidR="00F54E20">
        <w:rPr>
          <w:rFonts w:cstheme="minorHAnsi"/>
        </w:rPr>
        <w:t>е отговорна</w:t>
      </w:r>
      <w:r w:rsidRPr="00950C07">
        <w:rPr>
          <w:rFonts w:cstheme="minorHAnsi"/>
        </w:rPr>
        <w:t xml:space="preserve">. </w:t>
      </w:r>
    </w:p>
    <w:p w14:paraId="78E1A7D5" w14:textId="7D64A2B7" w:rsidR="00BC0973" w:rsidRDefault="008A419F" w:rsidP="00CD13DC">
      <w:pPr>
        <w:autoSpaceDE w:val="0"/>
        <w:autoSpaceDN w:val="0"/>
        <w:adjustRightInd w:val="0"/>
        <w:spacing w:before="120" w:after="0" w:line="240" w:lineRule="auto"/>
        <w:jc w:val="both"/>
        <w:rPr>
          <w:rFonts w:cstheme="minorHAnsi"/>
        </w:rPr>
      </w:pPr>
      <w:r w:rsidRPr="00950C07">
        <w:rPr>
          <w:rFonts w:cstheme="minorHAnsi"/>
        </w:rPr>
        <w:t>При оценката на одитните доклади са използвани</w:t>
      </w:r>
      <w:r w:rsidR="00BC0973">
        <w:rPr>
          <w:rFonts w:cstheme="minorHAnsi"/>
        </w:rPr>
        <w:t xml:space="preserve"> единствено</w:t>
      </w:r>
      <w:r w:rsidRPr="00950C07">
        <w:rPr>
          <w:rFonts w:cstheme="minorHAnsi"/>
        </w:rPr>
        <w:t xml:space="preserve"> </w:t>
      </w:r>
      <w:r w:rsidR="00BC0973">
        <w:rPr>
          <w:rFonts w:cstheme="minorHAnsi"/>
        </w:rPr>
        <w:t>констатациите</w:t>
      </w:r>
      <w:r w:rsidR="00BC0973" w:rsidRPr="00950C07">
        <w:rPr>
          <w:rFonts w:cstheme="minorHAnsi"/>
        </w:rPr>
        <w:t xml:space="preserve"> </w:t>
      </w:r>
      <w:r w:rsidR="00B213C1" w:rsidRPr="00950C07">
        <w:rPr>
          <w:rFonts w:cstheme="minorHAnsi"/>
        </w:rPr>
        <w:t xml:space="preserve">и изводите </w:t>
      </w:r>
      <w:r w:rsidRPr="00950C07">
        <w:rPr>
          <w:rFonts w:cstheme="minorHAnsi"/>
        </w:rPr>
        <w:t>на одиторите от Сметната палата</w:t>
      </w:r>
      <w:r w:rsidR="00F54E20">
        <w:rPr>
          <w:rFonts w:cstheme="minorHAnsi"/>
        </w:rPr>
        <w:t>.</w:t>
      </w:r>
      <w:r w:rsidRPr="00950C07">
        <w:rPr>
          <w:rFonts w:cstheme="minorHAnsi"/>
        </w:rPr>
        <w:t xml:space="preserve"> </w:t>
      </w:r>
      <w:r w:rsidR="00F54E20">
        <w:rPr>
          <w:rFonts w:cstheme="minorHAnsi"/>
        </w:rPr>
        <w:t>К</w:t>
      </w:r>
      <w:r w:rsidRPr="00950C07">
        <w:rPr>
          <w:rFonts w:cstheme="minorHAnsi"/>
        </w:rPr>
        <w:t xml:space="preserve">ласификацията </w:t>
      </w:r>
      <w:r w:rsidRPr="00BC0973">
        <w:rPr>
          <w:rFonts w:cstheme="minorHAnsi"/>
          <w:b/>
        </w:rPr>
        <w:t>не включва анализ</w:t>
      </w:r>
      <w:r w:rsidRPr="00950C07">
        <w:rPr>
          <w:rFonts w:cstheme="minorHAnsi"/>
        </w:rPr>
        <w:t xml:space="preserve"> на </w:t>
      </w:r>
      <w:r w:rsidR="00BC0973">
        <w:rPr>
          <w:rFonts w:cstheme="minorHAnsi"/>
        </w:rPr>
        <w:t xml:space="preserve">ИПИ </w:t>
      </w:r>
      <w:r w:rsidRPr="00950C07">
        <w:rPr>
          <w:rFonts w:cstheme="minorHAnsi"/>
        </w:rPr>
        <w:t>как разходите се отразяват на икономиката и дали изобщо са необходими, а само дали целите са изпълнени ефективно, ефикасно и икономично</w:t>
      </w:r>
      <w:r w:rsidRPr="00950C07">
        <w:rPr>
          <w:rStyle w:val="FootnoteReference"/>
          <w:rFonts w:cstheme="minorHAnsi"/>
          <w:b/>
          <w:color w:val="000000" w:themeColor="text1"/>
        </w:rPr>
        <w:footnoteReference w:id="2"/>
      </w:r>
      <w:r w:rsidRPr="00950C07">
        <w:rPr>
          <w:rFonts w:cstheme="minorHAnsi"/>
        </w:rPr>
        <w:t xml:space="preserve">. </w:t>
      </w:r>
    </w:p>
    <w:p w14:paraId="21D98BC4" w14:textId="641E48F4" w:rsidR="007F7703" w:rsidRPr="00950C07" w:rsidRDefault="008A419F" w:rsidP="00CD13DC">
      <w:pPr>
        <w:autoSpaceDE w:val="0"/>
        <w:autoSpaceDN w:val="0"/>
        <w:adjustRightInd w:val="0"/>
        <w:spacing w:before="120" w:after="0" w:line="240" w:lineRule="auto"/>
        <w:jc w:val="both"/>
        <w:rPr>
          <w:rFonts w:cstheme="minorHAnsi"/>
        </w:rPr>
      </w:pPr>
      <w:r w:rsidRPr="00950C07">
        <w:rPr>
          <w:rFonts w:cstheme="minorHAnsi"/>
        </w:rPr>
        <w:t>Категоризация</w:t>
      </w:r>
      <w:r w:rsidR="00E15123" w:rsidRPr="00950C07">
        <w:rPr>
          <w:rFonts w:cstheme="minorHAnsi"/>
        </w:rPr>
        <w:t>та</w:t>
      </w:r>
      <w:r w:rsidRPr="00950C07">
        <w:rPr>
          <w:rFonts w:cstheme="minorHAnsi"/>
        </w:rPr>
        <w:t xml:space="preserve"> на </w:t>
      </w:r>
      <w:r w:rsidR="007F7703" w:rsidRPr="00950C07">
        <w:rPr>
          <w:rFonts w:cstheme="minorHAnsi"/>
          <w:b/>
        </w:rPr>
        <w:t>ново</w:t>
      </w:r>
      <w:r w:rsidR="00276BF6" w:rsidRPr="00950C07">
        <w:rPr>
          <w:rFonts w:cstheme="minorHAnsi"/>
          <w:b/>
        </w:rPr>
        <w:t>добавените</w:t>
      </w:r>
      <w:r w:rsidR="007F7703" w:rsidRPr="00950C07">
        <w:rPr>
          <w:rFonts w:cstheme="minorHAnsi"/>
        </w:rPr>
        <w:t xml:space="preserve"> </w:t>
      </w:r>
      <w:r w:rsidR="001A17A1" w:rsidRPr="00950C07">
        <w:rPr>
          <w:rFonts w:cstheme="minorHAnsi"/>
        </w:rPr>
        <w:t>6</w:t>
      </w:r>
      <w:r w:rsidR="007C1C43">
        <w:rPr>
          <w:rFonts w:cstheme="minorHAnsi"/>
        </w:rPr>
        <w:t>9</w:t>
      </w:r>
      <w:r w:rsidR="001A17A1" w:rsidRPr="00950C07">
        <w:rPr>
          <w:rFonts w:cstheme="minorHAnsi"/>
        </w:rPr>
        <w:t xml:space="preserve"> </w:t>
      </w:r>
      <w:r w:rsidRPr="00950C07">
        <w:rPr>
          <w:rFonts w:cstheme="minorHAnsi"/>
        </w:rPr>
        <w:t xml:space="preserve">доклада </w:t>
      </w:r>
      <w:r w:rsidR="00F54E20" w:rsidRPr="00950C07">
        <w:rPr>
          <w:rFonts w:cstheme="minorHAnsi"/>
        </w:rPr>
        <w:t>установ</w:t>
      </w:r>
      <w:r w:rsidR="00F54E20">
        <w:rPr>
          <w:rFonts w:cstheme="minorHAnsi"/>
        </w:rPr>
        <w:t>ява</w:t>
      </w:r>
      <w:r w:rsidR="007F7703" w:rsidRPr="00950C07">
        <w:rPr>
          <w:rFonts w:cstheme="minorHAnsi"/>
        </w:rPr>
        <w:t>:</w:t>
      </w:r>
    </w:p>
    <w:p w14:paraId="31D3A3F6" w14:textId="0C0B0E02" w:rsidR="007F7703" w:rsidRPr="00950C07" w:rsidRDefault="005436EF"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sidRPr="00950C07">
        <w:rPr>
          <w:rFonts w:cstheme="minorHAnsi"/>
          <w:b/>
        </w:rPr>
        <w:t>2</w:t>
      </w:r>
      <w:r w:rsidR="007C1C43">
        <w:rPr>
          <w:rFonts w:cstheme="minorHAnsi"/>
          <w:b/>
        </w:rPr>
        <w:t>5</w:t>
      </w:r>
      <w:r w:rsidR="007F7703" w:rsidRPr="00950C07">
        <w:rPr>
          <w:rFonts w:cstheme="minorHAnsi"/>
          <w:b/>
        </w:rPr>
        <w:t xml:space="preserve"> случая на „</w:t>
      </w:r>
      <w:r w:rsidR="007F7703" w:rsidRPr="008861B6">
        <w:rPr>
          <w:rFonts w:cstheme="minorHAnsi"/>
          <w:b/>
          <w:color w:val="C0504D" w:themeColor="accent2"/>
        </w:rPr>
        <w:t>провал</w:t>
      </w:r>
      <w:r w:rsidR="007F7703" w:rsidRPr="00950C07">
        <w:rPr>
          <w:rFonts w:cstheme="minorHAnsi"/>
          <w:b/>
        </w:rPr>
        <w:t>”</w:t>
      </w:r>
      <w:r w:rsidR="007F7703" w:rsidRPr="00950C07">
        <w:rPr>
          <w:rFonts w:cstheme="minorHAnsi"/>
        </w:rPr>
        <w:t xml:space="preserve"> (възлизащи на </w:t>
      </w:r>
      <w:r w:rsidR="007C1C43">
        <w:rPr>
          <w:rFonts w:cstheme="minorHAnsi"/>
        </w:rPr>
        <w:t>5,0</w:t>
      </w:r>
      <w:r w:rsidR="007F7703" w:rsidRPr="00950C07">
        <w:rPr>
          <w:rFonts w:cstheme="minorHAnsi"/>
        </w:rPr>
        <w:t xml:space="preserve"> млрд. лв.)</w:t>
      </w:r>
    </w:p>
    <w:p w14:paraId="1F45F254" w14:textId="2B474260" w:rsidR="007F7703" w:rsidRPr="00950C07" w:rsidRDefault="005436EF"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sidRPr="00950C07">
        <w:rPr>
          <w:rFonts w:cstheme="minorHAnsi"/>
          <w:b/>
        </w:rPr>
        <w:t>1</w:t>
      </w:r>
      <w:r w:rsidR="007C1C43">
        <w:rPr>
          <w:rFonts w:cstheme="minorHAnsi"/>
          <w:b/>
        </w:rPr>
        <w:t>5</w:t>
      </w:r>
      <w:r w:rsidR="007F7703" w:rsidRPr="00950C07">
        <w:rPr>
          <w:rFonts w:cstheme="minorHAnsi"/>
          <w:b/>
        </w:rPr>
        <w:t xml:space="preserve"> случая на „</w:t>
      </w:r>
      <w:r w:rsidR="007F7703" w:rsidRPr="008861B6">
        <w:rPr>
          <w:rFonts w:cstheme="minorHAnsi"/>
          <w:b/>
          <w:color w:val="9BBB59" w:themeColor="accent3"/>
        </w:rPr>
        <w:t>успех</w:t>
      </w:r>
      <w:r w:rsidR="007F7703" w:rsidRPr="00950C07">
        <w:rPr>
          <w:rFonts w:cstheme="minorHAnsi"/>
          <w:b/>
        </w:rPr>
        <w:t>”</w:t>
      </w:r>
      <w:r w:rsidR="007F7703" w:rsidRPr="00950C07">
        <w:rPr>
          <w:rFonts w:cstheme="minorHAnsi"/>
        </w:rPr>
        <w:t xml:space="preserve"> (възлизащи на </w:t>
      </w:r>
      <w:r w:rsidR="007C1C43">
        <w:rPr>
          <w:rFonts w:cstheme="minorHAnsi"/>
        </w:rPr>
        <w:t>0,9</w:t>
      </w:r>
      <w:r w:rsidR="007F7703" w:rsidRPr="00950C07">
        <w:rPr>
          <w:rFonts w:cstheme="minorHAnsi"/>
        </w:rPr>
        <w:t xml:space="preserve"> млрд. лв.)</w:t>
      </w:r>
    </w:p>
    <w:p w14:paraId="596E51D0" w14:textId="1F63C474" w:rsidR="007F7703" w:rsidRPr="00950C07" w:rsidRDefault="007C1C43"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2</w:t>
      </w:r>
      <w:r w:rsidR="005436EF" w:rsidRPr="00950C07">
        <w:rPr>
          <w:rFonts w:cstheme="minorHAnsi"/>
          <w:b/>
        </w:rPr>
        <w:t>9</w:t>
      </w:r>
      <w:r w:rsidR="007F7703" w:rsidRPr="00950C07">
        <w:rPr>
          <w:rFonts w:cstheme="minorHAnsi"/>
          <w:b/>
        </w:rPr>
        <w:t xml:space="preserve"> „некласифицирани” случа</w:t>
      </w:r>
      <w:r w:rsidR="00E15123" w:rsidRPr="00950C07">
        <w:rPr>
          <w:rFonts w:cstheme="minorHAnsi"/>
          <w:b/>
        </w:rPr>
        <w:t>и</w:t>
      </w:r>
      <w:r w:rsidR="007F7703" w:rsidRPr="00950C07">
        <w:rPr>
          <w:rFonts w:cstheme="minorHAnsi"/>
        </w:rPr>
        <w:t xml:space="preserve"> (възлизащи на </w:t>
      </w:r>
      <w:r>
        <w:rPr>
          <w:rFonts w:cstheme="minorHAnsi"/>
        </w:rPr>
        <w:t>0,9</w:t>
      </w:r>
      <w:r w:rsidR="007F7703" w:rsidRPr="00950C07">
        <w:rPr>
          <w:rFonts w:cstheme="minorHAnsi"/>
        </w:rPr>
        <w:t xml:space="preserve"> млрд. лв.)</w:t>
      </w:r>
    </w:p>
    <w:p w14:paraId="78457578" w14:textId="77777777" w:rsidR="00F77201" w:rsidRPr="00950C07" w:rsidRDefault="00F77201" w:rsidP="00CD13DC">
      <w:pPr>
        <w:autoSpaceDE w:val="0"/>
        <w:autoSpaceDN w:val="0"/>
        <w:adjustRightInd w:val="0"/>
        <w:spacing w:before="120" w:after="0" w:line="240" w:lineRule="auto"/>
        <w:jc w:val="both"/>
        <w:rPr>
          <w:rFonts w:cstheme="minorHAnsi"/>
          <w:bCs/>
        </w:rPr>
      </w:pPr>
    </w:p>
    <w:tbl>
      <w:tblPr>
        <w:tblStyle w:val="TableGrid"/>
        <w:tblW w:w="9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F531D2" w:rsidRPr="00950C07" w14:paraId="10F16057" w14:textId="77777777" w:rsidTr="00B43D59">
        <w:trPr>
          <w:trHeight w:val="312"/>
        </w:trPr>
        <w:tc>
          <w:tcPr>
            <w:tcW w:w="9186" w:type="dxa"/>
            <w:gridSpan w:val="2"/>
            <w:shd w:val="clear" w:color="auto" w:fill="D9D9D9" w:themeFill="background1" w:themeFillShade="D9"/>
          </w:tcPr>
          <w:p w14:paraId="13AA29AB" w14:textId="01659BDC" w:rsidR="00F531D2" w:rsidRDefault="00F531D2"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
                <w:bCs/>
                <w:sz w:val="22"/>
                <w:szCs w:val="22"/>
              </w:rPr>
              <w:t xml:space="preserve">Класификация на новодобавените </w:t>
            </w:r>
            <w:r w:rsidR="009A3013">
              <w:rPr>
                <w:rFonts w:asciiTheme="minorHAnsi" w:hAnsiTheme="minorHAnsi" w:cstheme="minorHAnsi"/>
                <w:b/>
                <w:bCs/>
                <w:sz w:val="22"/>
                <w:szCs w:val="22"/>
              </w:rPr>
              <w:t>69</w:t>
            </w:r>
            <w:r w:rsidR="001A17A1" w:rsidRPr="00950C07">
              <w:rPr>
                <w:rFonts w:asciiTheme="minorHAnsi" w:hAnsiTheme="minorHAnsi" w:cstheme="minorHAnsi"/>
                <w:b/>
                <w:bCs/>
                <w:sz w:val="22"/>
                <w:szCs w:val="22"/>
              </w:rPr>
              <w:t xml:space="preserve"> </w:t>
            </w:r>
            <w:r w:rsidRPr="00950C07">
              <w:rPr>
                <w:rFonts w:asciiTheme="minorHAnsi" w:hAnsiTheme="minorHAnsi" w:cstheme="minorHAnsi"/>
                <w:b/>
                <w:bCs/>
                <w:sz w:val="22"/>
                <w:szCs w:val="22"/>
              </w:rPr>
              <w:t>доклада</w:t>
            </w:r>
          </w:p>
          <w:p w14:paraId="1BB885CA" w14:textId="0B98E0F0" w:rsidR="00F54E20" w:rsidRPr="00950C07" w:rsidRDefault="00F54E20"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Cs/>
              </w:rPr>
              <w:t>(ИПИ по данни на Сметната палата)</w:t>
            </w:r>
          </w:p>
        </w:tc>
      </w:tr>
      <w:tr w:rsidR="00E82501" w:rsidRPr="00950C07" w14:paraId="3A5989BA" w14:textId="77777777" w:rsidTr="0064392E">
        <w:trPr>
          <w:trHeight w:val="312"/>
        </w:trPr>
        <w:tc>
          <w:tcPr>
            <w:tcW w:w="4751" w:type="dxa"/>
          </w:tcPr>
          <w:p w14:paraId="1709A7CC" w14:textId="77777777" w:rsidR="00E82501" w:rsidRPr="00950C07" w:rsidRDefault="00E82501"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брой на разгледаните случаи</w:t>
            </w:r>
          </w:p>
        </w:tc>
        <w:tc>
          <w:tcPr>
            <w:tcW w:w="4435" w:type="dxa"/>
          </w:tcPr>
          <w:p w14:paraId="68770DCE" w14:textId="77777777" w:rsidR="00E82501" w:rsidRPr="00950C07" w:rsidRDefault="00E82501"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размер на похарчените средства</w:t>
            </w:r>
          </w:p>
        </w:tc>
      </w:tr>
      <w:tr w:rsidR="00E82501" w:rsidRPr="00950C07" w14:paraId="4B032D11" w14:textId="77777777" w:rsidTr="0064392E">
        <w:trPr>
          <w:trHeight w:val="2812"/>
        </w:trPr>
        <w:tc>
          <w:tcPr>
            <w:tcW w:w="4751" w:type="dxa"/>
          </w:tcPr>
          <w:p w14:paraId="18058202" w14:textId="6258BF66" w:rsidR="00E82501" w:rsidRPr="0064392E" w:rsidRDefault="0064392E" w:rsidP="00CD13DC">
            <w:pPr>
              <w:autoSpaceDE w:val="0"/>
              <w:autoSpaceDN w:val="0"/>
              <w:adjustRightInd w:val="0"/>
              <w:spacing w:before="120"/>
              <w:jc w:val="center"/>
              <w:rPr>
                <w:rFonts w:asciiTheme="minorHAnsi" w:hAnsiTheme="minorHAnsi" w:cstheme="minorHAnsi"/>
                <w:bCs/>
                <w:sz w:val="18"/>
                <w:szCs w:val="18"/>
              </w:rPr>
            </w:pPr>
            <w:r w:rsidRPr="0064392E">
              <w:rPr>
                <w:noProof/>
                <w:sz w:val="18"/>
                <w:szCs w:val="18"/>
                <w:lang w:val="en-US" w:eastAsia="en-US"/>
              </w:rPr>
              <w:drawing>
                <wp:inline distT="0" distB="0" distL="0" distR="0" wp14:anchorId="01B39C60" wp14:editId="0A37AD2E">
                  <wp:extent cx="2880000" cy="2340000"/>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435" w:type="dxa"/>
          </w:tcPr>
          <w:p w14:paraId="26594D9C" w14:textId="176CE1F2" w:rsidR="00E82501" w:rsidRPr="00950C07" w:rsidRDefault="0064392E" w:rsidP="00CD13DC">
            <w:pPr>
              <w:autoSpaceDE w:val="0"/>
              <w:autoSpaceDN w:val="0"/>
              <w:adjustRightInd w:val="0"/>
              <w:spacing w:before="120"/>
              <w:jc w:val="center"/>
              <w:rPr>
                <w:rFonts w:asciiTheme="minorHAnsi" w:hAnsiTheme="minorHAnsi" w:cstheme="minorHAnsi"/>
                <w:bCs/>
              </w:rPr>
            </w:pPr>
            <w:r>
              <w:rPr>
                <w:noProof/>
                <w:lang w:val="en-US" w:eastAsia="en-US"/>
              </w:rPr>
              <w:drawing>
                <wp:inline distT="0" distB="0" distL="0" distR="0" wp14:anchorId="4724B105" wp14:editId="0A25AAC4">
                  <wp:extent cx="2880000" cy="2340000"/>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1D867BA6" w14:textId="77777777" w:rsidR="005D6538" w:rsidRDefault="005D6538" w:rsidP="00CD13DC">
      <w:pPr>
        <w:autoSpaceDE w:val="0"/>
        <w:autoSpaceDN w:val="0"/>
        <w:adjustRightInd w:val="0"/>
        <w:spacing w:before="120" w:after="0" w:line="240" w:lineRule="auto"/>
        <w:jc w:val="both"/>
        <w:rPr>
          <w:rFonts w:cstheme="minorHAnsi"/>
          <w:bCs/>
        </w:rPr>
      </w:pPr>
    </w:p>
    <w:p w14:paraId="53E4C562" w14:textId="2391701B" w:rsidR="00E82501" w:rsidRPr="00950C07" w:rsidRDefault="00F77201" w:rsidP="00CD13DC">
      <w:pPr>
        <w:autoSpaceDE w:val="0"/>
        <w:autoSpaceDN w:val="0"/>
        <w:adjustRightInd w:val="0"/>
        <w:spacing w:before="120" w:after="0" w:line="240" w:lineRule="auto"/>
        <w:jc w:val="both"/>
        <w:rPr>
          <w:rFonts w:cstheme="minorHAnsi"/>
          <w:bCs/>
        </w:rPr>
      </w:pPr>
      <w:r w:rsidRPr="00950C07">
        <w:rPr>
          <w:rFonts w:cstheme="minorHAnsi"/>
          <w:bCs/>
        </w:rPr>
        <w:t xml:space="preserve">Така </w:t>
      </w:r>
      <w:r w:rsidR="00B43D59">
        <w:rPr>
          <w:rFonts w:cstheme="minorHAnsi"/>
          <w:bCs/>
        </w:rPr>
        <w:t>36</w:t>
      </w:r>
      <w:r w:rsidRPr="00950C07">
        <w:rPr>
          <w:rFonts w:cstheme="minorHAnsi"/>
          <w:bCs/>
        </w:rPr>
        <w:t xml:space="preserve">% от </w:t>
      </w:r>
      <w:r w:rsidR="00E122D2">
        <w:rPr>
          <w:rFonts w:cstheme="minorHAnsi"/>
          <w:bCs/>
        </w:rPr>
        <w:t xml:space="preserve">публичните дейности, обхванати от </w:t>
      </w:r>
      <w:r w:rsidR="008C79AD" w:rsidRPr="00950C07">
        <w:rPr>
          <w:rFonts w:cstheme="minorHAnsi"/>
          <w:bCs/>
        </w:rPr>
        <w:t xml:space="preserve">новите </w:t>
      </w:r>
      <w:r w:rsidR="00E122D2">
        <w:rPr>
          <w:rFonts w:cstheme="minorHAnsi"/>
          <w:bCs/>
        </w:rPr>
        <w:t xml:space="preserve">одитни </w:t>
      </w:r>
      <w:r w:rsidR="008C79AD" w:rsidRPr="00950C07">
        <w:rPr>
          <w:rFonts w:cstheme="minorHAnsi"/>
          <w:bCs/>
        </w:rPr>
        <w:t>доклади</w:t>
      </w:r>
      <w:r w:rsidR="003A6843">
        <w:rPr>
          <w:rFonts w:cstheme="minorHAnsi"/>
          <w:bCs/>
        </w:rPr>
        <w:t>,</w:t>
      </w:r>
      <w:r w:rsidR="008C79AD" w:rsidRPr="00950C07">
        <w:rPr>
          <w:rFonts w:cstheme="minorHAnsi"/>
          <w:bCs/>
        </w:rPr>
        <w:t xml:space="preserve"> </w:t>
      </w:r>
      <w:r w:rsidRPr="00950C07">
        <w:rPr>
          <w:rFonts w:cstheme="minorHAnsi"/>
          <w:bCs/>
        </w:rPr>
        <w:t>са определени като провал</w:t>
      </w:r>
      <w:r w:rsidR="003A6843">
        <w:rPr>
          <w:rFonts w:cstheme="minorHAnsi"/>
          <w:bCs/>
        </w:rPr>
        <w:t>,</w:t>
      </w:r>
      <w:r w:rsidRPr="00950C07">
        <w:rPr>
          <w:rFonts w:cstheme="minorHAnsi"/>
          <w:bCs/>
        </w:rPr>
        <w:t xml:space="preserve"> при 4</w:t>
      </w:r>
      <w:r w:rsidR="006F2734" w:rsidRPr="00950C07">
        <w:rPr>
          <w:rFonts w:cstheme="minorHAnsi"/>
          <w:bCs/>
        </w:rPr>
        <w:t>3</w:t>
      </w:r>
      <w:r w:rsidRPr="00950C07">
        <w:rPr>
          <w:rFonts w:cstheme="minorHAnsi"/>
          <w:bCs/>
        </w:rPr>
        <w:t xml:space="preserve">% </w:t>
      </w:r>
      <w:r w:rsidR="00E45AF4" w:rsidRPr="00950C07">
        <w:rPr>
          <w:rFonts w:cstheme="minorHAnsi"/>
          <w:bCs/>
        </w:rPr>
        <w:t xml:space="preserve">в </w:t>
      </w:r>
      <w:r w:rsidRPr="00950C07">
        <w:rPr>
          <w:rFonts w:cstheme="minorHAnsi"/>
          <w:bCs/>
        </w:rPr>
        <w:t xml:space="preserve">предишните издания на изследването. </w:t>
      </w:r>
      <w:r w:rsidR="00B43D59">
        <w:rPr>
          <w:rFonts w:cstheme="minorHAnsi"/>
          <w:bCs/>
        </w:rPr>
        <w:t>По-малко</w:t>
      </w:r>
      <w:r w:rsidRPr="00950C07">
        <w:rPr>
          <w:rFonts w:cstheme="minorHAnsi"/>
          <w:bCs/>
        </w:rPr>
        <w:t xml:space="preserve"> са </w:t>
      </w:r>
      <w:r w:rsidR="00B43D59">
        <w:rPr>
          <w:rFonts w:cstheme="minorHAnsi"/>
          <w:bCs/>
        </w:rPr>
        <w:t xml:space="preserve">и </w:t>
      </w:r>
      <w:r w:rsidRPr="00950C07">
        <w:rPr>
          <w:rFonts w:cstheme="minorHAnsi"/>
          <w:bCs/>
        </w:rPr>
        <w:t>„успешните” случаи – 2</w:t>
      </w:r>
      <w:r w:rsidR="00B43D59">
        <w:rPr>
          <w:rFonts w:cstheme="minorHAnsi"/>
          <w:bCs/>
        </w:rPr>
        <w:t>2</w:t>
      </w:r>
      <w:r w:rsidRPr="00950C07">
        <w:rPr>
          <w:rFonts w:cstheme="minorHAnsi"/>
          <w:bCs/>
        </w:rPr>
        <w:t>% в новите доклади</w:t>
      </w:r>
      <w:r w:rsidR="000E6046">
        <w:rPr>
          <w:rFonts w:cstheme="minorHAnsi"/>
          <w:bCs/>
        </w:rPr>
        <w:t>,</w:t>
      </w:r>
      <w:r w:rsidRPr="00950C07">
        <w:rPr>
          <w:rFonts w:cstheme="minorHAnsi"/>
          <w:bCs/>
        </w:rPr>
        <w:t xml:space="preserve"> при </w:t>
      </w:r>
      <w:r w:rsidR="001048FF" w:rsidRPr="00950C07">
        <w:rPr>
          <w:rFonts w:cstheme="minorHAnsi"/>
          <w:bCs/>
        </w:rPr>
        <w:t>25</w:t>
      </w:r>
      <w:r w:rsidRPr="00950C07">
        <w:rPr>
          <w:rFonts w:cstheme="minorHAnsi"/>
          <w:bCs/>
        </w:rPr>
        <w:t>% за старите.</w:t>
      </w:r>
      <w:r w:rsidR="00AF67AD" w:rsidRPr="00950C07">
        <w:rPr>
          <w:rFonts w:cstheme="minorHAnsi"/>
          <w:bCs/>
        </w:rPr>
        <w:t xml:space="preserve"> </w:t>
      </w:r>
    </w:p>
    <w:p w14:paraId="0A752323" w14:textId="6BC20F5D" w:rsidR="00E82501" w:rsidRPr="00950C07" w:rsidRDefault="00E82501" w:rsidP="00CD13DC">
      <w:pPr>
        <w:autoSpaceDE w:val="0"/>
        <w:autoSpaceDN w:val="0"/>
        <w:adjustRightInd w:val="0"/>
        <w:spacing w:before="120" w:after="0" w:line="240" w:lineRule="auto"/>
        <w:jc w:val="both"/>
        <w:rPr>
          <w:rFonts w:cstheme="minorHAnsi"/>
          <w:bCs/>
        </w:rPr>
      </w:pPr>
      <w:r w:rsidRPr="00950C07">
        <w:rPr>
          <w:rFonts w:cstheme="minorHAnsi"/>
          <w:bCs/>
        </w:rPr>
        <w:t>Класификацията според бюджетите на програмите и държавните структури показва, че в „провалените” случаи са похарчени</w:t>
      </w:r>
      <w:r w:rsidR="00F531D2" w:rsidRPr="00950C07">
        <w:rPr>
          <w:rFonts w:cstheme="minorHAnsi"/>
          <w:bCs/>
        </w:rPr>
        <w:t xml:space="preserve"> </w:t>
      </w:r>
      <w:r w:rsidR="00B43D59">
        <w:rPr>
          <w:rFonts w:cstheme="minorHAnsi"/>
          <w:bCs/>
        </w:rPr>
        <w:t>74</w:t>
      </w:r>
      <w:r w:rsidR="00F531D2" w:rsidRPr="00950C07">
        <w:rPr>
          <w:rFonts w:cstheme="minorHAnsi"/>
          <w:bCs/>
        </w:rPr>
        <w:t xml:space="preserve">% от публичните средства, а в „успешните” – </w:t>
      </w:r>
      <w:r w:rsidR="001048FF" w:rsidRPr="00950C07">
        <w:rPr>
          <w:rFonts w:cstheme="minorHAnsi"/>
          <w:bCs/>
        </w:rPr>
        <w:t>около 1</w:t>
      </w:r>
      <w:r w:rsidR="008C79AD" w:rsidRPr="00950C07">
        <w:rPr>
          <w:rFonts w:cstheme="minorHAnsi"/>
          <w:bCs/>
        </w:rPr>
        <w:t>3</w:t>
      </w:r>
      <w:r w:rsidR="00F531D2" w:rsidRPr="00950C07">
        <w:rPr>
          <w:rFonts w:cstheme="minorHAnsi"/>
          <w:bCs/>
        </w:rPr>
        <w:t>%</w:t>
      </w:r>
      <w:r w:rsidR="00E441BF" w:rsidRPr="00950C07">
        <w:rPr>
          <w:rFonts w:cstheme="minorHAnsi"/>
          <w:bCs/>
        </w:rPr>
        <w:t>.</w:t>
      </w:r>
    </w:p>
    <w:p w14:paraId="0354BCC5" w14:textId="0F982D3D" w:rsidR="000515F4" w:rsidRPr="00B44ED6" w:rsidRDefault="00BB3563" w:rsidP="00CD13DC">
      <w:pPr>
        <w:autoSpaceDE w:val="0"/>
        <w:autoSpaceDN w:val="0"/>
        <w:adjustRightInd w:val="0"/>
        <w:spacing w:before="120" w:after="0" w:line="240" w:lineRule="auto"/>
        <w:jc w:val="both"/>
        <w:rPr>
          <w:rFonts w:cstheme="minorHAnsi"/>
          <w:bCs/>
        </w:rPr>
      </w:pPr>
      <w:r w:rsidRPr="00950C07">
        <w:rPr>
          <w:rFonts w:cstheme="minorHAnsi"/>
          <w:bCs/>
        </w:rPr>
        <w:t>Въпреки сериозния дял на провалените програми като публичен разходи, следва да се има предвид, че</w:t>
      </w:r>
      <w:r w:rsidR="00AF67AD" w:rsidRPr="00950C07">
        <w:rPr>
          <w:rFonts w:cstheme="minorHAnsi"/>
          <w:bCs/>
        </w:rPr>
        <w:t xml:space="preserve"> новодобавените доклади </w:t>
      </w:r>
      <w:r w:rsidR="00B43D59">
        <w:rPr>
          <w:rFonts w:cstheme="minorHAnsi"/>
          <w:bCs/>
        </w:rPr>
        <w:t xml:space="preserve">са относително </w:t>
      </w:r>
      <w:r w:rsidR="00E17E7B" w:rsidRPr="00950C07">
        <w:rPr>
          <w:rFonts w:cstheme="minorHAnsi"/>
          <w:bCs/>
        </w:rPr>
        <w:t xml:space="preserve">малко на брой (в настоящото изследване те </w:t>
      </w:r>
      <w:r w:rsidR="00AF67AD" w:rsidRPr="00950C07">
        <w:rPr>
          <w:rFonts w:cstheme="minorHAnsi"/>
          <w:bCs/>
        </w:rPr>
        <w:t>представляват 1/</w:t>
      </w:r>
      <w:r w:rsidR="00B43D59">
        <w:rPr>
          <w:rFonts w:cstheme="minorHAnsi"/>
          <w:bCs/>
        </w:rPr>
        <w:t>14</w:t>
      </w:r>
      <w:r w:rsidR="00AF67AD" w:rsidRPr="00950C07">
        <w:rPr>
          <w:rFonts w:cstheme="minorHAnsi"/>
          <w:bCs/>
        </w:rPr>
        <w:t xml:space="preserve"> от всички разгледани</w:t>
      </w:r>
      <w:r w:rsidR="00E15123" w:rsidRPr="00950C07">
        <w:rPr>
          <w:rFonts w:cstheme="minorHAnsi"/>
          <w:bCs/>
        </w:rPr>
        <w:t xml:space="preserve"> в предходните издания на анализа</w:t>
      </w:r>
      <w:r w:rsidR="00E17E7B" w:rsidRPr="00950C07">
        <w:rPr>
          <w:rFonts w:cstheme="minorHAnsi"/>
          <w:bCs/>
        </w:rPr>
        <w:t>)</w:t>
      </w:r>
      <w:r w:rsidR="00AF67AD" w:rsidRPr="00950C07">
        <w:rPr>
          <w:rFonts w:cstheme="minorHAnsi"/>
          <w:bCs/>
        </w:rPr>
        <w:t>, така че не може да се направи генерално заключение, че проблемите са се задълбочили.</w:t>
      </w:r>
      <w:r w:rsidR="001F092C" w:rsidRPr="00950C07">
        <w:rPr>
          <w:rFonts w:cstheme="minorHAnsi"/>
          <w:bCs/>
          <w:lang w:val="en-US"/>
        </w:rPr>
        <w:t xml:space="preserve"> </w:t>
      </w:r>
      <w:r w:rsidR="001F092C" w:rsidRPr="00950C07">
        <w:rPr>
          <w:rFonts w:cstheme="minorHAnsi"/>
          <w:bCs/>
        </w:rPr>
        <w:t xml:space="preserve">По-скоро е притеснително, че </w:t>
      </w:r>
      <w:r w:rsidR="00E122D2">
        <w:rPr>
          <w:rFonts w:cstheme="minorHAnsi"/>
          <w:bCs/>
        </w:rPr>
        <w:t>липсва каквото и да било подобрение</w:t>
      </w:r>
      <w:r w:rsidR="001F092C" w:rsidRPr="00950C07">
        <w:rPr>
          <w:rFonts w:cstheme="minorHAnsi"/>
          <w:bCs/>
        </w:rPr>
        <w:t>.</w:t>
      </w:r>
      <w:r w:rsidR="006F2734" w:rsidRPr="00950C07">
        <w:rPr>
          <w:rFonts w:cstheme="minorHAnsi"/>
          <w:bCs/>
        </w:rPr>
        <w:t xml:space="preserve"> </w:t>
      </w:r>
      <w:r w:rsidR="00F77201" w:rsidRPr="00950C07">
        <w:rPr>
          <w:rFonts w:cstheme="minorHAnsi"/>
          <w:bCs/>
        </w:rPr>
        <w:t xml:space="preserve">  </w:t>
      </w:r>
    </w:p>
    <w:p w14:paraId="64DA7F32" w14:textId="0591F7D8" w:rsidR="000515F4" w:rsidRDefault="001F092C" w:rsidP="00CD13DC">
      <w:pPr>
        <w:autoSpaceDE w:val="0"/>
        <w:autoSpaceDN w:val="0"/>
        <w:adjustRightInd w:val="0"/>
        <w:spacing w:before="120" w:after="0" w:line="240" w:lineRule="auto"/>
        <w:jc w:val="both"/>
        <w:rPr>
          <w:rFonts w:cstheme="minorHAnsi"/>
        </w:rPr>
      </w:pPr>
      <w:r w:rsidRPr="00950C07">
        <w:rPr>
          <w:rFonts w:cstheme="minorHAnsi"/>
        </w:rPr>
        <w:t xml:space="preserve">С новодобавените </w:t>
      </w:r>
      <w:r w:rsidR="00B43D59">
        <w:rPr>
          <w:rFonts w:cstheme="minorHAnsi"/>
        </w:rPr>
        <w:t>69</w:t>
      </w:r>
      <w:r w:rsidR="004419DC" w:rsidRPr="00950C07">
        <w:rPr>
          <w:rFonts w:cstheme="minorHAnsi"/>
        </w:rPr>
        <w:t xml:space="preserve"> </w:t>
      </w:r>
      <w:r w:rsidR="00B43D59">
        <w:rPr>
          <w:rFonts w:cstheme="minorHAnsi"/>
        </w:rPr>
        <w:t>доклада</w:t>
      </w:r>
      <w:r w:rsidRPr="00950C07">
        <w:rPr>
          <w:rFonts w:cstheme="minorHAnsi"/>
        </w:rPr>
        <w:t xml:space="preserve"> разгледаните случаи на работата на централната администрация стават общо </w:t>
      </w:r>
      <w:r w:rsidR="00B43D59">
        <w:rPr>
          <w:rFonts w:cstheme="minorHAnsi"/>
        </w:rPr>
        <w:t xml:space="preserve">1035 </w:t>
      </w:r>
      <w:r w:rsidRPr="00950C07">
        <w:rPr>
          <w:rFonts w:cstheme="minorHAnsi"/>
        </w:rPr>
        <w:t xml:space="preserve">и представляват достатъчна извадка, върху която могат да се правят изводи. </w:t>
      </w:r>
    </w:p>
    <w:p w14:paraId="2D4E92C2" w14:textId="232C1B44" w:rsidR="001F092C" w:rsidRPr="00950C07" w:rsidRDefault="001F092C" w:rsidP="00CD13DC">
      <w:pPr>
        <w:autoSpaceDE w:val="0"/>
        <w:autoSpaceDN w:val="0"/>
        <w:adjustRightInd w:val="0"/>
        <w:spacing w:before="120" w:after="0" w:line="240" w:lineRule="auto"/>
        <w:jc w:val="both"/>
        <w:rPr>
          <w:rFonts w:cstheme="minorHAnsi"/>
        </w:rPr>
      </w:pPr>
      <w:r w:rsidRPr="00950C07">
        <w:rPr>
          <w:rFonts w:cstheme="minorHAnsi"/>
        </w:rPr>
        <w:t xml:space="preserve">„Провалът” на администрацията се вижда в </w:t>
      </w:r>
      <w:r w:rsidR="00383258" w:rsidRPr="00950C07">
        <w:rPr>
          <w:rFonts w:cstheme="minorHAnsi"/>
        </w:rPr>
        <w:t>4</w:t>
      </w:r>
      <w:r w:rsidR="00B43D59">
        <w:rPr>
          <w:rFonts w:cstheme="minorHAnsi"/>
        </w:rPr>
        <w:t>38</w:t>
      </w:r>
      <w:r w:rsidRPr="00950C07">
        <w:rPr>
          <w:rFonts w:cstheme="minorHAnsi"/>
        </w:rPr>
        <w:t xml:space="preserve"> случая или 4</w:t>
      </w:r>
      <w:r w:rsidR="00B43D59">
        <w:rPr>
          <w:rFonts w:cstheme="minorHAnsi"/>
        </w:rPr>
        <w:t>2</w:t>
      </w:r>
      <w:r w:rsidRPr="00950C07">
        <w:rPr>
          <w:rFonts w:cstheme="minorHAnsi"/>
        </w:rPr>
        <w:t xml:space="preserve">% от всички публикувани одитни доклади. В </w:t>
      </w:r>
      <w:r w:rsidR="00383258" w:rsidRPr="00950C07">
        <w:rPr>
          <w:rFonts w:cstheme="minorHAnsi"/>
        </w:rPr>
        <w:t>2</w:t>
      </w:r>
      <w:r w:rsidR="00B43D59">
        <w:rPr>
          <w:rFonts w:cstheme="minorHAnsi"/>
        </w:rPr>
        <w:t>57</w:t>
      </w:r>
      <w:r w:rsidR="00383258" w:rsidRPr="00950C07">
        <w:rPr>
          <w:rFonts w:cstheme="minorHAnsi"/>
        </w:rPr>
        <w:t xml:space="preserve"> </w:t>
      </w:r>
      <w:r w:rsidRPr="00950C07">
        <w:rPr>
          <w:rFonts w:cstheme="minorHAnsi"/>
        </w:rPr>
        <w:t xml:space="preserve">случая (25% от всички) пък администрацията се е справила „успешно” при управлението на публичните средства и изпълнението на целите си. </w:t>
      </w:r>
      <w:r w:rsidR="006C59BC" w:rsidRPr="00950C07">
        <w:rPr>
          <w:rFonts w:cstheme="minorHAnsi"/>
        </w:rPr>
        <w:t xml:space="preserve">Структурата на докладите не се променя с добавяне на новите </w:t>
      </w:r>
      <w:r w:rsidR="00B43D59">
        <w:rPr>
          <w:rFonts w:cstheme="minorHAnsi"/>
        </w:rPr>
        <w:t>69</w:t>
      </w:r>
      <w:r w:rsidR="006C59BC" w:rsidRPr="00950C07">
        <w:rPr>
          <w:rFonts w:cstheme="minorHAnsi"/>
        </w:rPr>
        <w:t xml:space="preserve"> доклада. </w:t>
      </w:r>
    </w:p>
    <w:p w14:paraId="3A60F50B" w14:textId="481E2F6B" w:rsidR="00917249" w:rsidRPr="00950C07" w:rsidRDefault="00E441BF" w:rsidP="00CD13DC">
      <w:pPr>
        <w:autoSpaceDE w:val="0"/>
        <w:autoSpaceDN w:val="0"/>
        <w:adjustRightInd w:val="0"/>
        <w:spacing w:before="120" w:after="0" w:line="240" w:lineRule="auto"/>
        <w:jc w:val="both"/>
        <w:rPr>
          <w:rFonts w:cstheme="minorHAnsi"/>
        </w:rPr>
      </w:pPr>
      <w:r w:rsidRPr="00950C07">
        <w:rPr>
          <w:rFonts w:cstheme="minorHAnsi"/>
          <w:bCs/>
        </w:rPr>
        <w:t xml:space="preserve">Класификацията според бюджетите на програмите и държавните структури показва, че в „провалените” случаи са похарчени </w:t>
      </w:r>
      <w:r w:rsidR="00B43D59">
        <w:rPr>
          <w:rFonts w:cstheme="minorHAnsi"/>
          <w:bCs/>
        </w:rPr>
        <w:t>53</w:t>
      </w:r>
      <w:r w:rsidRPr="00950C07">
        <w:rPr>
          <w:rFonts w:cstheme="minorHAnsi"/>
          <w:bCs/>
        </w:rPr>
        <w:t>% от публичните средства, а в „успешните” – 2</w:t>
      </w:r>
      <w:r w:rsidR="00B43D59">
        <w:rPr>
          <w:rFonts w:cstheme="minorHAnsi"/>
          <w:bCs/>
        </w:rPr>
        <w:t>3</w:t>
      </w:r>
      <w:r w:rsidRPr="00950C07">
        <w:rPr>
          <w:rFonts w:cstheme="minorHAnsi"/>
          <w:bCs/>
        </w:rPr>
        <w:t>%.</w:t>
      </w:r>
    </w:p>
    <w:p w14:paraId="78E20C43" w14:textId="7B35B719" w:rsidR="00A83703" w:rsidRDefault="001F092C" w:rsidP="00CD13DC">
      <w:pPr>
        <w:autoSpaceDE w:val="0"/>
        <w:autoSpaceDN w:val="0"/>
        <w:adjustRightInd w:val="0"/>
        <w:spacing w:before="120" w:after="0" w:line="240" w:lineRule="auto"/>
        <w:jc w:val="both"/>
        <w:rPr>
          <w:rFonts w:cstheme="minorHAnsi"/>
        </w:rPr>
      </w:pPr>
      <w:r w:rsidRPr="00950C07">
        <w:rPr>
          <w:rFonts w:cstheme="minorHAnsi"/>
        </w:rPr>
        <w:t xml:space="preserve">Случаите на провал и успех са ясно разграничени от </w:t>
      </w:r>
      <w:r w:rsidR="00B43D59">
        <w:rPr>
          <w:rFonts w:cstheme="minorHAnsi"/>
        </w:rPr>
        <w:t>340 примера (33</w:t>
      </w:r>
      <w:r w:rsidRPr="00950C07">
        <w:rPr>
          <w:rFonts w:cstheme="minorHAnsi"/>
        </w:rPr>
        <w:t>%), определени като „некласифицирани”, където има разнопосочно представяне на администрацията и работата ѝ не може да се отнесе категорично към успехите или провалите.</w:t>
      </w:r>
      <w:r w:rsidR="00E441BF" w:rsidRPr="00950C07">
        <w:rPr>
          <w:rFonts w:cstheme="minorHAnsi"/>
        </w:rPr>
        <w:t xml:space="preserve"> В „некласифицираните” случаи са похарчени 2</w:t>
      </w:r>
      <w:r w:rsidR="00B43D59">
        <w:rPr>
          <w:rFonts w:cstheme="minorHAnsi"/>
        </w:rPr>
        <w:t>4</w:t>
      </w:r>
      <w:r w:rsidR="00E441BF" w:rsidRPr="00950C07">
        <w:rPr>
          <w:rFonts w:cstheme="minorHAnsi"/>
        </w:rPr>
        <w:t>% от всички разходи.</w:t>
      </w:r>
      <w:r w:rsidRPr="00950C07">
        <w:rPr>
          <w:rFonts w:cstheme="minorHAnsi"/>
        </w:rPr>
        <w:t xml:space="preserve">  </w:t>
      </w:r>
    </w:p>
    <w:p w14:paraId="4A91B754" w14:textId="7C47FC9F" w:rsidR="001F092C" w:rsidRPr="00950C07" w:rsidRDefault="001F092C" w:rsidP="00CD13DC">
      <w:pPr>
        <w:autoSpaceDE w:val="0"/>
        <w:autoSpaceDN w:val="0"/>
        <w:adjustRightInd w:val="0"/>
        <w:spacing w:before="120" w:after="0" w:line="240" w:lineRule="auto"/>
        <w:jc w:val="both"/>
        <w:rPr>
          <w:rFonts w:cstheme="minorHAnsi"/>
        </w:rPr>
      </w:pPr>
      <w:r w:rsidRPr="00950C07">
        <w:rPr>
          <w:rFonts w:cstheme="minorHAnsi"/>
        </w:rPr>
        <w:t xml:space="preserve">Така, </w:t>
      </w:r>
      <w:r w:rsidR="00FF5BBD" w:rsidRPr="00950C07">
        <w:rPr>
          <w:rFonts w:cstheme="minorHAnsi"/>
        </w:rPr>
        <w:t xml:space="preserve">категоризацията </w:t>
      </w:r>
      <w:r w:rsidRPr="00950C07">
        <w:rPr>
          <w:rFonts w:cstheme="minorHAnsi"/>
        </w:rPr>
        <w:t xml:space="preserve">на </w:t>
      </w:r>
      <w:r w:rsidRPr="00950C07">
        <w:rPr>
          <w:rFonts w:cstheme="minorHAnsi"/>
          <w:b/>
        </w:rPr>
        <w:t xml:space="preserve">всички </w:t>
      </w:r>
      <w:r w:rsidR="00B43D59">
        <w:rPr>
          <w:rFonts w:cstheme="minorHAnsi"/>
          <w:b/>
        </w:rPr>
        <w:t>1035</w:t>
      </w:r>
      <w:r w:rsidR="004419DC" w:rsidRPr="00950C07">
        <w:rPr>
          <w:rFonts w:cstheme="minorHAnsi"/>
        </w:rPr>
        <w:t xml:space="preserve"> </w:t>
      </w:r>
      <w:r w:rsidRPr="00950C07">
        <w:rPr>
          <w:rFonts w:cstheme="minorHAnsi"/>
        </w:rPr>
        <w:t xml:space="preserve">доклада </w:t>
      </w:r>
      <w:r w:rsidR="00382AAB">
        <w:rPr>
          <w:rFonts w:cstheme="minorHAnsi"/>
        </w:rPr>
        <w:t>за периода 1998 – 2020</w:t>
      </w:r>
      <w:r w:rsidR="00212071">
        <w:rPr>
          <w:rFonts w:cstheme="minorHAnsi"/>
        </w:rPr>
        <w:t xml:space="preserve"> г. </w:t>
      </w:r>
      <w:r w:rsidRPr="00950C07">
        <w:rPr>
          <w:rFonts w:cstheme="minorHAnsi"/>
        </w:rPr>
        <w:t>установи:</w:t>
      </w:r>
    </w:p>
    <w:p w14:paraId="5332FFBC" w14:textId="394A12B1" w:rsidR="001F092C" w:rsidRPr="00950C07" w:rsidRDefault="00B43D59"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438</w:t>
      </w:r>
      <w:r w:rsidR="001F092C" w:rsidRPr="00950C07">
        <w:rPr>
          <w:rFonts w:cstheme="minorHAnsi"/>
          <w:b/>
        </w:rPr>
        <w:t xml:space="preserve"> случая на „</w:t>
      </w:r>
      <w:r w:rsidR="001F092C" w:rsidRPr="008861B6">
        <w:rPr>
          <w:rFonts w:cstheme="minorHAnsi"/>
          <w:b/>
          <w:color w:val="C0504D" w:themeColor="accent2"/>
        </w:rPr>
        <w:t>провал</w:t>
      </w:r>
      <w:r w:rsidR="001F092C" w:rsidRPr="00950C07">
        <w:rPr>
          <w:rFonts w:cstheme="minorHAnsi"/>
          <w:b/>
        </w:rPr>
        <w:t>”</w:t>
      </w:r>
      <w:r>
        <w:rPr>
          <w:rFonts w:cstheme="minorHAnsi"/>
        </w:rPr>
        <w:t xml:space="preserve">, </w:t>
      </w:r>
      <w:r w:rsidR="001F092C" w:rsidRPr="00950C07">
        <w:rPr>
          <w:rFonts w:cstheme="minorHAnsi"/>
        </w:rPr>
        <w:t xml:space="preserve">възлизащи на </w:t>
      </w:r>
      <w:r>
        <w:rPr>
          <w:rFonts w:cstheme="minorHAnsi"/>
        </w:rPr>
        <w:t>83 млрд. лв.</w:t>
      </w:r>
    </w:p>
    <w:p w14:paraId="6689B08D" w14:textId="5812AB63" w:rsidR="001F092C" w:rsidRPr="00950C07" w:rsidRDefault="00B43D59" w:rsidP="00CD13DC">
      <w:pPr>
        <w:pStyle w:val="ListParagraph"/>
        <w:numPr>
          <w:ilvl w:val="0"/>
          <w:numId w:val="2"/>
        </w:numPr>
        <w:autoSpaceDE w:val="0"/>
        <w:autoSpaceDN w:val="0"/>
        <w:adjustRightInd w:val="0"/>
        <w:spacing w:before="120" w:after="0" w:line="240" w:lineRule="auto"/>
        <w:contextualSpacing w:val="0"/>
        <w:jc w:val="both"/>
        <w:rPr>
          <w:rFonts w:cstheme="minorHAnsi"/>
        </w:rPr>
      </w:pPr>
      <w:r>
        <w:rPr>
          <w:rFonts w:cstheme="minorHAnsi"/>
          <w:b/>
        </w:rPr>
        <w:t>257</w:t>
      </w:r>
      <w:r w:rsidR="001F092C" w:rsidRPr="00950C07">
        <w:rPr>
          <w:rFonts w:cstheme="minorHAnsi"/>
          <w:b/>
        </w:rPr>
        <w:t xml:space="preserve"> случая на „</w:t>
      </w:r>
      <w:r w:rsidR="001F092C" w:rsidRPr="008861B6">
        <w:rPr>
          <w:rFonts w:cstheme="minorHAnsi"/>
          <w:b/>
          <w:color w:val="9BBB59" w:themeColor="accent3"/>
        </w:rPr>
        <w:t>успех</w:t>
      </w:r>
      <w:r w:rsidR="001F092C" w:rsidRPr="00950C07">
        <w:rPr>
          <w:rFonts w:cstheme="minorHAnsi"/>
          <w:b/>
        </w:rPr>
        <w:t>”</w:t>
      </w:r>
      <w:r>
        <w:rPr>
          <w:rFonts w:cstheme="minorHAnsi"/>
        </w:rPr>
        <w:t>, възлизащи на 35 млрд. лв.</w:t>
      </w:r>
    </w:p>
    <w:p w14:paraId="46FC1172" w14:textId="218A12F8" w:rsidR="00695C92" w:rsidRDefault="00B43D59" w:rsidP="00CD13DC">
      <w:pPr>
        <w:pStyle w:val="ListParagraph"/>
        <w:numPr>
          <w:ilvl w:val="0"/>
          <w:numId w:val="2"/>
        </w:numPr>
        <w:autoSpaceDE w:val="0"/>
        <w:autoSpaceDN w:val="0"/>
        <w:adjustRightInd w:val="0"/>
        <w:spacing w:before="120" w:after="0" w:line="240" w:lineRule="auto"/>
        <w:ind w:left="714" w:hanging="357"/>
        <w:contextualSpacing w:val="0"/>
        <w:jc w:val="both"/>
        <w:rPr>
          <w:rFonts w:cstheme="minorHAnsi"/>
        </w:rPr>
      </w:pPr>
      <w:r>
        <w:rPr>
          <w:rFonts w:cstheme="minorHAnsi"/>
          <w:b/>
        </w:rPr>
        <w:t>340</w:t>
      </w:r>
      <w:r w:rsidR="001F092C" w:rsidRPr="00950C07">
        <w:rPr>
          <w:rFonts w:cstheme="minorHAnsi"/>
          <w:b/>
        </w:rPr>
        <w:t xml:space="preserve"> „некласифицирани” случая</w:t>
      </w:r>
      <w:r>
        <w:rPr>
          <w:rFonts w:cstheme="minorHAnsi"/>
        </w:rPr>
        <w:t xml:space="preserve">, </w:t>
      </w:r>
      <w:r w:rsidR="001F092C" w:rsidRPr="00950C07">
        <w:rPr>
          <w:rFonts w:cstheme="minorHAnsi"/>
        </w:rPr>
        <w:t>възлизащи на 3</w:t>
      </w:r>
      <w:r>
        <w:rPr>
          <w:rFonts w:cstheme="minorHAnsi"/>
        </w:rPr>
        <w:t>8</w:t>
      </w:r>
      <w:r w:rsidR="001F092C" w:rsidRPr="00950C07">
        <w:rPr>
          <w:rFonts w:cstheme="minorHAnsi"/>
        </w:rPr>
        <w:t xml:space="preserve"> </w:t>
      </w:r>
      <w:r>
        <w:rPr>
          <w:rFonts w:cstheme="minorHAnsi"/>
        </w:rPr>
        <w:t>млрд. лв.</w:t>
      </w:r>
    </w:p>
    <w:p w14:paraId="490684F1" w14:textId="77777777" w:rsidR="005D6538" w:rsidRPr="005D6538" w:rsidRDefault="005D6538" w:rsidP="00CD13DC">
      <w:pPr>
        <w:autoSpaceDE w:val="0"/>
        <w:autoSpaceDN w:val="0"/>
        <w:adjustRightInd w:val="0"/>
        <w:spacing w:before="120" w:after="0" w:line="240" w:lineRule="auto"/>
        <w:jc w:val="both"/>
        <w:rPr>
          <w:rFonts w:cstheme="minorHAnsi"/>
        </w:rPr>
      </w:pPr>
    </w:p>
    <w:tbl>
      <w:tblPr>
        <w:tblStyle w:val="TableGrid"/>
        <w:tblW w:w="923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500"/>
      </w:tblGrid>
      <w:tr w:rsidR="00695C92" w:rsidRPr="00950C07" w14:paraId="5127D615" w14:textId="77777777" w:rsidTr="00D756B3">
        <w:trPr>
          <w:trHeight w:val="377"/>
        </w:trPr>
        <w:tc>
          <w:tcPr>
            <w:tcW w:w="9237" w:type="dxa"/>
            <w:gridSpan w:val="2"/>
            <w:shd w:val="clear" w:color="auto" w:fill="D9D9D9" w:themeFill="background1" w:themeFillShade="D9"/>
            <w:vAlign w:val="center"/>
          </w:tcPr>
          <w:p w14:paraId="3A754D71" w14:textId="250B8BB9" w:rsidR="00695C92" w:rsidRPr="00A635CF" w:rsidRDefault="00695C92"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
                <w:bCs/>
                <w:sz w:val="22"/>
                <w:szCs w:val="22"/>
              </w:rPr>
              <w:t xml:space="preserve">Класификация на всички </w:t>
            </w:r>
            <w:r>
              <w:rPr>
                <w:rFonts w:asciiTheme="minorHAnsi" w:hAnsiTheme="minorHAnsi" w:cstheme="minorHAnsi"/>
                <w:b/>
                <w:bCs/>
                <w:sz w:val="22"/>
                <w:szCs w:val="22"/>
              </w:rPr>
              <w:t>1035</w:t>
            </w:r>
            <w:r w:rsidRPr="00950C07">
              <w:rPr>
                <w:rFonts w:asciiTheme="minorHAnsi" w:hAnsiTheme="minorHAnsi" w:cstheme="minorHAnsi"/>
                <w:b/>
                <w:bCs/>
                <w:sz w:val="22"/>
                <w:szCs w:val="22"/>
              </w:rPr>
              <w:t xml:space="preserve"> одитни доклада</w:t>
            </w:r>
            <w:r>
              <w:rPr>
                <w:rFonts w:asciiTheme="minorHAnsi" w:hAnsiTheme="minorHAnsi" w:cstheme="minorHAnsi"/>
                <w:b/>
                <w:bCs/>
                <w:sz w:val="22"/>
                <w:szCs w:val="22"/>
                <w:lang w:val="en-GB"/>
              </w:rPr>
              <w:t xml:space="preserve"> </w:t>
            </w:r>
            <w:r>
              <w:rPr>
                <w:rFonts w:asciiTheme="minorHAnsi" w:hAnsiTheme="minorHAnsi" w:cstheme="minorHAnsi"/>
                <w:b/>
                <w:bCs/>
                <w:sz w:val="22"/>
                <w:szCs w:val="22"/>
              </w:rPr>
              <w:t>за 1998-2020 г.</w:t>
            </w:r>
          </w:p>
          <w:p w14:paraId="4128B155" w14:textId="77777777" w:rsidR="00695C92" w:rsidRPr="00950C07" w:rsidRDefault="00695C92" w:rsidP="004C0B5B">
            <w:pPr>
              <w:tabs>
                <w:tab w:val="left" w:pos="3944"/>
              </w:tabs>
              <w:autoSpaceDE w:val="0"/>
              <w:autoSpaceDN w:val="0"/>
              <w:adjustRightInd w:val="0"/>
              <w:jc w:val="center"/>
              <w:rPr>
                <w:rFonts w:asciiTheme="minorHAnsi" w:hAnsiTheme="minorHAnsi" w:cstheme="minorHAnsi"/>
                <w:b/>
                <w:bCs/>
                <w:sz w:val="22"/>
                <w:szCs w:val="22"/>
              </w:rPr>
            </w:pPr>
            <w:r w:rsidRPr="00950C07">
              <w:rPr>
                <w:rFonts w:asciiTheme="minorHAnsi" w:hAnsiTheme="minorHAnsi" w:cstheme="minorHAnsi"/>
                <w:bCs/>
              </w:rPr>
              <w:t>(ИПИ по данни на Сметната палата)</w:t>
            </w:r>
          </w:p>
        </w:tc>
      </w:tr>
      <w:tr w:rsidR="00695C92" w:rsidRPr="00950C07" w14:paraId="0E43694C" w14:textId="77777777" w:rsidTr="00D756B3">
        <w:trPr>
          <w:trHeight w:val="377"/>
        </w:trPr>
        <w:tc>
          <w:tcPr>
            <w:tcW w:w="4737" w:type="dxa"/>
            <w:vAlign w:val="center"/>
          </w:tcPr>
          <w:p w14:paraId="004CB30F" w14:textId="77777777" w:rsidR="00695C92" w:rsidRPr="00950C07" w:rsidRDefault="00695C92"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брой на разгледаните случаи</w:t>
            </w:r>
          </w:p>
        </w:tc>
        <w:tc>
          <w:tcPr>
            <w:tcW w:w="4500" w:type="dxa"/>
            <w:vAlign w:val="center"/>
          </w:tcPr>
          <w:p w14:paraId="197DE83F" w14:textId="77777777" w:rsidR="00695C92" w:rsidRPr="00950C07" w:rsidRDefault="00695C92" w:rsidP="00CD13DC">
            <w:pPr>
              <w:autoSpaceDE w:val="0"/>
              <w:autoSpaceDN w:val="0"/>
              <w:adjustRightInd w:val="0"/>
              <w:spacing w:before="120"/>
              <w:jc w:val="center"/>
              <w:rPr>
                <w:rFonts w:asciiTheme="minorHAnsi" w:hAnsiTheme="minorHAnsi" w:cstheme="minorHAnsi"/>
                <w:b/>
                <w:bCs/>
                <w:sz w:val="22"/>
                <w:szCs w:val="22"/>
              </w:rPr>
            </w:pPr>
            <w:r w:rsidRPr="00950C07">
              <w:rPr>
                <w:rFonts w:asciiTheme="minorHAnsi" w:hAnsiTheme="minorHAnsi" w:cstheme="minorHAnsi"/>
                <w:b/>
                <w:bCs/>
                <w:sz w:val="22"/>
                <w:szCs w:val="22"/>
              </w:rPr>
              <w:t>Класификация по размер на похарчените средства</w:t>
            </w:r>
          </w:p>
        </w:tc>
      </w:tr>
      <w:tr w:rsidR="00695C92" w:rsidRPr="00950C07" w14:paraId="08D2F9A9" w14:textId="77777777" w:rsidTr="00D756B3">
        <w:trPr>
          <w:trHeight w:val="3392"/>
        </w:trPr>
        <w:tc>
          <w:tcPr>
            <w:tcW w:w="4737" w:type="dxa"/>
            <w:vAlign w:val="center"/>
          </w:tcPr>
          <w:p w14:paraId="4B2B3120" w14:textId="77777777" w:rsidR="00695C92" w:rsidRPr="00950C07" w:rsidRDefault="00695C92" w:rsidP="00CD13DC">
            <w:pPr>
              <w:autoSpaceDE w:val="0"/>
              <w:autoSpaceDN w:val="0"/>
              <w:adjustRightInd w:val="0"/>
              <w:spacing w:before="120"/>
              <w:jc w:val="center"/>
              <w:rPr>
                <w:rFonts w:asciiTheme="minorHAnsi" w:hAnsiTheme="minorHAnsi" w:cstheme="minorHAnsi"/>
                <w:bCs/>
              </w:rPr>
            </w:pPr>
            <w:r>
              <w:rPr>
                <w:noProof/>
                <w:lang w:val="en-US" w:eastAsia="en-US"/>
              </w:rPr>
              <w:drawing>
                <wp:inline distT="0" distB="0" distL="0" distR="0" wp14:anchorId="20C07E58" wp14:editId="13BBC76B">
                  <wp:extent cx="2809875" cy="2339975"/>
                  <wp:effectExtent l="0" t="0" r="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500" w:type="dxa"/>
            <w:vAlign w:val="center"/>
          </w:tcPr>
          <w:p w14:paraId="53088494" w14:textId="77777777" w:rsidR="00695C92" w:rsidRPr="00950C07" w:rsidRDefault="00695C92" w:rsidP="00CD13DC">
            <w:pPr>
              <w:autoSpaceDE w:val="0"/>
              <w:autoSpaceDN w:val="0"/>
              <w:adjustRightInd w:val="0"/>
              <w:spacing w:before="120"/>
              <w:jc w:val="center"/>
              <w:rPr>
                <w:rFonts w:asciiTheme="minorHAnsi" w:hAnsiTheme="minorHAnsi" w:cstheme="minorHAnsi"/>
                <w:bCs/>
              </w:rPr>
            </w:pPr>
            <w:r>
              <w:rPr>
                <w:noProof/>
                <w:lang w:val="en-US" w:eastAsia="en-US"/>
              </w:rPr>
              <w:drawing>
                <wp:inline distT="0" distB="0" distL="0" distR="0" wp14:anchorId="25DE185C" wp14:editId="545935A5">
                  <wp:extent cx="2762250" cy="2339975"/>
                  <wp:effectExtent l="0" t="0" r="0" b="31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13C5B0BC" w14:textId="2E52F44F" w:rsidR="00212071" w:rsidRPr="008861B6" w:rsidRDefault="00A71BEF" w:rsidP="00CD13DC">
      <w:pPr>
        <w:autoSpaceDE w:val="0"/>
        <w:autoSpaceDN w:val="0"/>
        <w:adjustRightInd w:val="0"/>
        <w:spacing w:before="120" w:after="0" w:line="240" w:lineRule="auto"/>
        <w:jc w:val="both"/>
        <w:rPr>
          <w:rFonts w:cstheme="minorHAnsi"/>
          <w:bCs/>
        </w:rPr>
      </w:pPr>
      <w:r w:rsidRPr="00950C07">
        <w:rPr>
          <w:rFonts w:cstheme="minorHAnsi"/>
          <w:bCs/>
        </w:rPr>
        <w:t>Разглеждането на данните по години</w:t>
      </w:r>
      <w:r w:rsidR="004D674A" w:rsidRPr="00950C07">
        <w:rPr>
          <w:rFonts w:cstheme="minorHAnsi"/>
          <w:bCs/>
        </w:rPr>
        <w:t xml:space="preserve"> показва, че делът на „</w:t>
      </w:r>
      <w:r w:rsidR="00EB5B4B" w:rsidRPr="00950C07">
        <w:rPr>
          <w:rFonts w:cstheme="minorHAnsi"/>
          <w:bCs/>
        </w:rPr>
        <w:t>успехите</w:t>
      </w:r>
      <w:r w:rsidR="004D674A" w:rsidRPr="00950C07">
        <w:rPr>
          <w:rFonts w:cstheme="minorHAnsi"/>
          <w:bCs/>
        </w:rPr>
        <w:t>” и на „</w:t>
      </w:r>
      <w:r w:rsidR="00EB5B4B" w:rsidRPr="00950C07">
        <w:rPr>
          <w:rFonts w:cstheme="minorHAnsi"/>
          <w:bCs/>
        </w:rPr>
        <w:t>провалите</w:t>
      </w:r>
      <w:r w:rsidR="004D674A" w:rsidRPr="00950C07">
        <w:rPr>
          <w:rFonts w:cstheme="minorHAnsi"/>
          <w:bCs/>
        </w:rPr>
        <w:t xml:space="preserve">” като цяло се запазва след 2001 г. Това означава, че администрацията </w:t>
      </w:r>
      <w:r w:rsidR="007B4A9C">
        <w:rPr>
          <w:rFonts w:cstheme="minorHAnsi"/>
          <w:bCs/>
        </w:rPr>
        <w:t>е неефективна</w:t>
      </w:r>
      <w:r w:rsidR="002034A8" w:rsidRPr="00950C07">
        <w:rPr>
          <w:rFonts w:cstheme="minorHAnsi"/>
          <w:bCs/>
        </w:rPr>
        <w:t>,</w:t>
      </w:r>
      <w:r w:rsidR="004D674A" w:rsidRPr="00950C07">
        <w:rPr>
          <w:rFonts w:cstheme="minorHAnsi"/>
          <w:bCs/>
        </w:rPr>
        <w:t xml:space="preserve"> независимо </w:t>
      </w:r>
      <w:r w:rsidR="007B4A9C">
        <w:rPr>
          <w:rFonts w:cstheme="minorHAnsi"/>
          <w:bCs/>
        </w:rPr>
        <w:t xml:space="preserve">кой </w:t>
      </w:r>
      <w:r w:rsidR="00212071">
        <w:rPr>
          <w:rFonts w:cstheme="minorHAnsi"/>
          <w:bCs/>
        </w:rPr>
        <w:t xml:space="preserve">е на власт </w:t>
      </w:r>
      <w:r w:rsidR="000B5C3C">
        <w:rPr>
          <w:rFonts w:cstheme="minorHAnsi"/>
          <w:bCs/>
        </w:rPr>
        <w:t>и независимо от фазата на бизнес цикъла – подем или спад на икономическа активност</w:t>
      </w:r>
      <w:r w:rsidR="004D674A" w:rsidRPr="00950C07">
        <w:rPr>
          <w:rFonts w:cstheme="minorHAnsi"/>
          <w:bCs/>
        </w:rPr>
        <w:t>.</w:t>
      </w:r>
      <w:r w:rsidR="00EB03E4" w:rsidRPr="00950C07">
        <w:rPr>
          <w:rFonts w:cstheme="minorHAnsi"/>
          <w:bCs/>
        </w:rPr>
        <w:t xml:space="preserve"> </w:t>
      </w:r>
      <w:r w:rsidR="00BB3563" w:rsidRPr="00950C07">
        <w:rPr>
          <w:rFonts w:cstheme="minorHAnsi"/>
          <w:bCs/>
        </w:rPr>
        <w:t>П</w:t>
      </w:r>
      <w:r w:rsidR="00EB03E4" w:rsidRPr="00950C07">
        <w:rPr>
          <w:rFonts w:cstheme="minorHAnsi"/>
          <w:bCs/>
        </w:rPr>
        <w:t xml:space="preserve">олитическият цикъл </w:t>
      </w:r>
      <w:r w:rsidR="00BB3563" w:rsidRPr="00950C07">
        <w:rPr>
          <w:rFonts w:cstheme="minorHAnsi"/>
          <w:bCs/>
        </w:rPr>
        <w:t xml:space="preserve">също </w:t>
      </w:r>
      <w:r w:rsidR="00EB03E4" w:rsidRPr="00950C07">
        <w:rPr>
          <w:rFonts w:cstheme="minorHAnsi"/>
          <w:bCs/>
        </w:rPr>
        <w:t xml:space="preserve">се отразява негативно на </w:t>
      </w:r>
      <w:r w:rsidR="00BB3563" w:rsidRPr="00950C07">
        <w:rPr>
          <w:rFonts w:cstheme="minorHAnsi"/>
          <w:bCs/>
        </w:rPr>
        <w:t>резултатите от работата на администрацията</w:t>
      </w:r>
      <w:r w:rsidR="00D95CC9" w:rsidRPr="00950C07">
        <w:rPr>
          <w:rFonts w:cstheme="minorHAnsi"/>
          <w:bCs/>
        </w:rPr>
        <w:t>.</w:t>
      </w:r>
      <w:r w:rsidR="00C45DF4">
        <w:rPr>
          <w:rFonts w:cstheme="minorHAnsi"/>
          <w:bCs/>
        </w:rPr>
        <w:t xml:space="preserve"> След 2016 г. се наблюдава плавен спад на дела на „провалите“ и съответстващ ръст на дела на „успехите“, но тъй като включените доклади за тези години все още са сравнително малко на брой, </w:t>
      </w:r>
      <w:r w:rsidR="001639D4">
        <w:rPr>
          <w:rFonts w:cstheme="minorHAnsi"/>
          <w:bCs/>
        </w:rPr>
        <w:t>не може</w:t>
      </w:r>
      <w:r w:rsidR="00C45DF4">
        <w:rPr>
          <w:rFonts w:cstheme="minorHAnsi"/>
          <w:bCs/>
        </w:rPr>
        <w:t xml:space="preserve"> да се говори за трайно подобрение.</w:t>
      </w:r>
    </w:p>
    <w:p w14:paraId="29ADDF71" w14:textId="77777777" w:rsidR="006A6660" w:rsidRDefault="006A6660" w:rsidP="00CD13DC">
      <w:pPr>
        <w:keepNext/>
        <w:autoSpaceDE w:val="0"/>
        <w:autoSpaceDN w:val="0"/>
        <w:adjustRightInd w:val="0"/>
        <w:spacing w:before="120" w:after="0" w:line="240" w:lineRule="auto"/>
        <w:rPr>
          <w:rFonts w:cstheme="minorHAnsi"/>
          <w:b/>
        </w:rPr>
      </w:pPr>
    </w:p>
    <w:p w14:paraId="2C194A77" w14:textId="5A782B01" w:rsidR="00D05D15" w:rsidRDefault="00D05D15" w:rsidP="004C0B5B">
      <w:pPr>
        <w:keepNext/>
        <w:shd w:val="clear" w:color="auto" w:fill="BFBFBF" w:themeFill="background1" w:themeFillShade="BF"/>
        <w:autoSpaceDE w:val="0"/>
        <w:autoSpaceDN w:val="0"/>
        <w:adjustRightInd w:val="0"/>
        <w:spacing w:after="0" w:line="240" w:lineRule="auto"/>
        <w:jc w:val="center"/>
        <w:rPr>
          <w:rFonts w:cstheme="minorHAnsi"/>
          <w:b/>
        </w:rPr>
      </w:pPr>
      <w:r w:rsidRPr="00950C07">
        <w:rPr>
          <w:rFonts w:cstheme="minorHAnsi"/>
          <w:b/>
        </w:rPr>
        <w:t>Успехи и провали по години</w:t>
      </w:r>
      <w:r w:rsidR="00553F55" w:rsidRPr="00950C07">
        <w:rPr>
          <w:rFonts w:cstheme="minorHAnsi"/>
          <w:b/>
        </w:rPr>
        <w:t>,</w:t>
      </w:r>
      <w:r w:rsidRPr="00950C07">
        <w:rPr>
          <w:rFonts w:cstheme="minorHAnsi"/>
          <w:b/>
        </w:rPr>
        <w:t xml:space="preserve"> брой</w:t>
      </w:r>
    </w:p>
    <w:p w14:paraId="4F16AEA3" w14:textId="173BA1D6" w:rsidR="004C0B5B" w:rsidRPr="004C0B5B" w:rsidRDefault="004C0B5B" w:rsidP="004C0B5B">
      <w:pPr>
        <w:keepNext/>
        <w:shd w:val="clear" w:color="auto" w:fill="BFBFBF" w:themeFill="background1" w:themeFillShade="BF"/>
        <w:autoSpaceDE w:val="0"/>
        <w:autoSpaceDN w:val="0"/>
        <w:adjustRightInd w:val="0"/>
        <w:spacing w:after="0" w:line="240" w:lineRule="auto"/>
        <w:jc w:val="center"/>
        <w:rPr>
          <w:rFonts w:cstheme="minorHAnsi"/>
          <w:b/>
          <w:sz w:val="20"/>
          <w:szCs w:val="20"/>
        </w:rPr>
      </w:pPr>
      <w:r w:rsidRPr="004C0B5B">
        <w:rPr>
          <w:rFonts w:cstheme="minorHAnsi"/>
          <w:bCs/>
          <w:sz w:val="20"/>
          <w:szCs w:val="20"/>
        </w:rPr>
        <w:t>(ИПИ по данни на Сметната палата)</w:t>
      </w:r>
    </w:p>
    <w:p w14:paraId="614A8CCC" w14:textId="3F1E5B48" w:rsidR="00D05D15" w:rsidRPr="00C45DF4" w:rsidRDefault="00695C92" w:rsidP="00CD13DC">
      <w:pPr>
        <w:keepNext/>
        <w:autoSpaceDE w:val="0"/>
        <w:autoSpaceDN w:val="0"/>
        <w:adjustRightInd w:val="0"/>
        <w:spacing w:before="120" w:after="0" w:line="240" w:lineRule="auto"/>
        <w:rPr>
          <w:rFonts w:cstheme="minorHAnsi"/>
          <w:b/>
        </w:rPr>
      </w:pPr>
      <w:r w:rsidRPr="00695C92">
        <w:rPr>
          <w:noProof/>
          <w:shd w:val="clear" w:color="auto" w:fill="C0504D" w:themeFill="accent2"/>
          <w:lang w:val="en-US" w:eastAsia="en-US"/>
        </w:rPr>
        <w:drawing>
          <wp:inline distT="0" distB="0" distL="0" distR="0" wp14:anchorId="0AA0A237" wp14:editId="76DAA219">
            <wp:extent cx="5760720" cy="314579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F3B2A3D" w14:textId="77777777" w:rsidR="004D674A" w:rsidRPr="00950C07" w:rsidRDefault="004D674A" w:rsidP="00CD13DC">
      <w:pPr>
        <w:autoSpaceDE w:val="0"/>
        <w:autoSpaceDN w:val="0"/>
        <w:adjustRightInd w:val="0"/>
        <w:spacing w:before="120" w:after="0" w:line="240" w:lineRule="auto"/>
        <w:jc w:val="both"/>
        <w:rPr>
          <w:rFonts w:cstheme="minorHAnsi"/>
          <w:i/>
          <w:sz w:val="18"/>
          <w:szCs w:val="18"/>
        </w:rPr>
      </w:pPr>
      <w:r w:rsidRPr="00950C07">
        <w:rPr>
          <w:rFonts w:cstheme="minorHAnsi"/>
          <w:i/>
          <w:sz w:val="18"/>
          <w:szCs w:val="18"/>
        </w:rPr>
        <w:t>Забележка: Одитите на Сметната палата често се извършват с една или две години закъснение и включват оценка на дейности и програми, които често обхващат повече от една година.</w:t>
      </w:r>
    </w:p>
    <w:p w14:paraId="2BD04565" w14:textId="77777777" w:rsidR="000C6E19" w:rsidRPr="00950C07" w:rsidRDefault="000C6E19" w:rsidP="00CD13DC">
      <w:pPr>
        <w:autoSpaceDE w:val="0"/>
        <w:autoSpaceDN w:val="0"/>
        <w:adjustRightInd w:val="0"/>
        <w:spacing w:before="120" w:after="0" w:line="240" w:lineRule="auto"/>
        <w:jc w:val="both"/>
        <w:rPr>
          <w:rFonts w:cstheme="minorHAnsi"/>
          <w:bCs/>
        </w:rPr>
      </w:pPr>
    </w:p>
    <w:p w14:paraId="7003085C" w14:textId="293B7F1E" w:rsidR="003E2DB0" w:rsidRPr="00950C07" w:rsidRDefault="001F7CC3" w:rsidP="00CD13DC">
      <w:pPr>
        <w:autoSpaceDE w:val="0"/>
        <w:autoSpaceDN w:val="0"/>
        <w:adjustRightInd w:val="0"/>
        <w:spacing w:before="120" w:after="0" w:line="240" w:lineRule="auto"/>
        <w:jc w:val="both"/>
        <w:rPr>
          <w:rFonts w:cstheme="minorHAnsi"/>
          <w:bCs/>
        </w:rPr>
      </w:pPr>
      <w:r w:rsidRPr="00950C07">
        <w:rPr>
          <w:rFonts w:cstheme="minorHAnsi"/>
          <w:bCs/>
        </w:rPr>
        <w:t>П</w:t>
      </w:r>
      <w:r w:rsidR="000C6E19" w:rsidRPr="00950C07">
        <w:rPr>
          <w:rFonts w:cstheme="minorHAnsi"/>
          <w:bCs/>
        </w:rPr>
        <w:t>рез 2005, 2009 и 2013 г. се наблюдава ръст, макар и слаб, на дела на провалите (в тези години те винаги прехвърлят 50%), което съвпада и с парламентарните избори за 40-тото, 41-вото</w:t>
      </w:r>
      <w:r w:rsidR="000E6046">
        <w:rPr>
          <w:rFonts w:cstheme="minorHAnsi"/>
          <w:bCs/>
        </w:rPr>
        <w:t>,</w:t>
      </w:r>
      <w:r w:rsidR="000C6E19" w:rsidRPr="00950C07">
        <w:rPr>
          <w:rFonts w:cstheme="minorHAnsi"/>
          <w:bCs/>
        </w:rPr>
        <w:t xml:space="preserve"> 42-рото </w:t>
      </w:r>
      <w:r w:rsidR="000E6046">
        <w:rPr>
          <w:rFonts w:cstheme="minorHAnsi"/>
          <w:bCs/>
        </w:rPr>
        <w:t xml:space="preserve">и 43-тото </w:t>
      </w:r>
      <w:r w:rsidR="000C6E19" w:rsidRPr="00950C07">
        <w:rPr>
          <w:rFonts w:cstheme="minorHAnsi"/>
          <w:bCs/>
        </w:rPr>
        <w:t>Народно събрание. Този факт навежда на мисълта, че харченето е по-</w:t>
      </w:r>
      <w:r w:rsidR="001704CC">
        <w:rPr>
          <w:rFonts w:cstheme="minorHAnsi"/>
          <w:bCs/>
        </w:rPr>
        <w:t>неефективно</w:t>
      </w:r>
      <w:r w:rsidR="001704CC" w:rsidRPr="00950C07">
        <w:rPr>
          <w:rFonts w:cstheme="minorHAnsi"/>
          <w:bCs/>
        </w:rPr>
        <w:t xml:space="preserve"> </w:t>
      </w:r>
      <w:r w:rsidR="000C6E19" w:rsidRPr="00950C07">
        <w:rPr>
          <w:rFonts w:cstheme="minorHAnsi"/>
          <w:bCs/>
        </w:rPr>
        <w:t>преди избори. Подобно съвпадение с изборите се наблюдава и при обема на средствата, които се харчат чрез обществени поръчки</w:t>
      </w:r>
      <w:r w:rsidR="000C6E19" w:rsidRPr="00950C07">
        <w:rPr>
          <w:rStyle w:val="FootnoteReference"/>
          <w:rFonts w:cstheme="minorHAnsi"/>
          <w:bCs/>
        </w:rPr>
        <w:footnoteReference w:id="3"/>
      </w:r>
      <w:r w:rsidR="000C6E19" w:rsidRPr="00950C07">
        <w:rPr>
          <w:rFonts w:cstheme="minorHAnsi"/>
          <w:bCs/>
        </w:rPr>
        <w:t>.</w:t>
      </w:r>
    </w:p>
    <w:p w14:paraId="529142A5" w14:textId="7CBDD713" w:rsidR="009F6D57" w:rsidRDefault="001F7CC3" w:rsidP="00CD13DC">
      <w:pPr>
        <w:autoSpaceDE w:val="0"/>
        <w:autoSpaceDN w:val="0"/>
        <w:adjustRightInd w:val="0"/>
        <w:spacing w:before="120" w:after="0" w:line="240" w:lineRule="auto"/>
        <w:jc w:val="both"/>
        <w:rPr>
          <w:rFonts w:cstheme="minorHAnsi"/>
          <w:bCs/>
        </w:rPr>
      </w:pPr>
      <w:r w:rsidRPr="00950C07">
        <w:rPr>
          <w:rFonts w:cstheme="minorHAnsi"/>
          <w:bCs/>
        </w:rPr>
        <w:t xml:space="preserve">Прави впечатление, че </w:t>
      </w:r>
      <w:r w:rsidR="00BB3563" w:rsidRPr="00950C07">
        <w:rPr>
          <w:rFonts w:cstheme="minorHAnsi"/>
          <w:bCs/>
        </w:rPr>
        <w:t>новите</w:t>
      </w:r>
      <w:r w:rsidRPr="00950C07">
        <w:rPr>
          <w:rFonts w:cstheme="minorHAnsi"/>
          <w:bCs/>
        </w:rPr>
        <w:t xml:space="preserve"> доклади добавят към значителния дял на провалите </w:t>
      </w:r>
      <w:r w:rsidR="00C45DF4">
        <w:rPr>
          <w:rFonts w:cstheme="minorHAnsi"/>
          <w:bCs/>
        </w:rPr>
        <w:t>след 2017 г.</w:t>
      </w:r>
      <w:r w:rsidR="00A2789E" w:rsidRPr="00950C07">
        <w:rPr>
          <w:rFonts w:cstheme="minorHAnsi"/>
          <w:bCs/>
        </w:rPr>
        <w:t>, особено по отношение на неуспешно похарчените разходи.</w:t>
      </w:r>
      <w:r w:rsidRPr="00950C07">
        <w:rPr>
          <w:rFonts w:cstheme="minorHAnsi"/>
          <w:bCs/>
        </w:rPr>
        <w:t xml:space="preserve"> </w:t>
      </w:r>
      <w:r w:rsidR="00383EE3" w:rsidRPr="00950C07">
        <w:rPr>
          <w:rFonts w:cstheme="minorHAnsi"/>
          <w:bCs/>
        </w:rPr>
        <w:t>Това на практика означава, че правителството не подобрява изпълнението на програмите си и не постига поставените цели</w:t>
      </w:r>
      <w:r w:rsidR="00FC0F78" w:rsidRPr="00950C07">
        <w:rPr>
          <w:rFonts w:cstheme="minorHAnsi"/>
          <w:bCs/>
        </w:rPr>
        <w:t xml:space="preserve"> в значителен дял от случаите</w:t>
      </w:r>
      <w:r w:rsidR="00383EE3" w:rsidRPr="00950C07">
        <w:rPr>
          <w:rFonts w:cstheme="minorHAnsi"/>
          <w:bCs/>
        </w:rPr>
        <w:t>.</w:t>
      </w:r>
      <w:r w:rsidR="00FC0F78" w:rsidRPr="00950C07">
        <w:rPr>
          <w:rFonts w:cstheme="minorHAnsi"/>
          <w:bCs/>
        </w:rPr>
        <w:t xml:space="preserve"> </w:t>
      </w:r>
      <w:r w:rsidR="00A2789E" w:rsidRPr="00950C07">
        <w:rPr>
          <w:rFonts w:cstheme="minorHAnsi"/>
          <w:bCs/>
        </w:rPr>
        <w:t>Провал се отчита в изразходването на големи разходни програми, което показва, че рисковете във финансовото управление на големи проекти са на практика по-големи</w:t>
      </w:r>
      <w:r w:rsidR="000E6046">
        <w:rPr>
          <w:rFonts w:cstheme="minorHAnsi"/>
          <w:bCs/>
        </w:rPr>
        <w:t>, като се има предвид по-големия обем от средства, които те разпределят</w:t>
      </w:r>
      <w:r w:rsidR="00A2789E" w:rsidRPr="00950C07">
        <w:rPr>
          <w:rFonts w:cstheme="minorHAnsi"/>
          <w:bCs/>
        </w:rPr>
        <w:t xml:space="preserve">. </w:t>
      </w:r>
      <w:r w:rsidR="00383EE3" w:rsidRPr="00950C07">
        <w:rPr>
          <w:rFonts w:cstheme="minorHAnsi"/>
          <w:bCs/>
        </w:rPr>
        <w:t xml:space="preserve"> </w:t>
      </w:r>
      <w:bookmarkStart w:id="23" w:name="_Toc216178140"/>
      <w:bookmarkStart w:id="24" w:name="_Toc279481467"/>
      <w:bookmarkStart w:id="25" w:name="_Toc279481542"/>
      <w:bookmarkStart w:id="26" w:name="_Toc279486956"/>
      <w:bookmarkStart w:id="27" w:name="_Toc279487211"/>
      <w:bookmarkStart w:id="28" w:name="_Toc279671281"/>
      <w:bookmarkStart w:id="29" w:name="_Toc279741584"/>
      <w:bookmarkStart w:id="30" w:name="_Toc282432583"/>
      <w:bookmarkStart w:id="31" w:name="_Toc285637038"/>
      <w:bookmarkStart w:id="32" w:name="_Toc316386072"/>
      <w:bookmarkStart w:id="33" w:name="_Toc356652894"/>
    </w:p>
    <w:p w14:paraId="19F0FF0C" w14:textId="77777777" w:rsidR="0064392E" w:rsidRDefault="0064392E" w:rsidP="00CD13DC">
      <w:pPr>
        <w:autoSpaceDE w:val="0"/>
        <w:autoSpaceDN w:val="0"/>
        <w:adjustRightInd w:val="0"/>
        <w:spacing w:before="120" w:after="0" w:line="240" w:lineRule="auto"/>
        <w:jc w:val="both"/>
        <w:rPr>
          <w:rFonts w:cstheme="minorHAnsi"/>
          <w:bCs/>
        </w:rPr>
      </w:pPr>
    </w:p>
    <w:p w14:paraId="63417479" w14:textId="77777777" w:rsidR="00B44ED6" w:rsidRDefault="00B44ED6" w:rsidP="00CD13DC">
      <w:pPr>
        <w:spacing w:before="120" w:after="0" w:line="240" w:lineRule="auto"/>
        <w:rPr>
          <w:rFonts w:cstheme="minorHAnsi"/>
          <w:b/>
          <w:bCs/>
          <w:sz w:val="24"/>
          <w:szCs w:val="24"/>
        </w:rPr>
      </w:pPr>
      <w:r>
        <w:rPr>
          <w:rFonts w:cstheme="minorHAnsi"/>
          <w:b/>
          <w:bCs/>
          <w:sz w:val="24"/>
          <w:szCs w:val="24"/>
        </w:rPr>
        <w:br w:type="page"/>
      </w:r>
    </w:p>
    <w:p w14:paraId="3EAB42C6" w14:textId="3F6A1201" w:rsidR="0064392E" w:rsidRPr="0064392E" w:rsidRDefault="0064392E" w:rsidP="004C0B5B">
      <w:pPr>
        <w:pStyle w:val="Heading2"/>
        <w:shd w:val="clear" w:color="auto" w:fill="9BBB59" w:themeFill="accent3"/>
      </w:pPr>
      <w:bookmarkStart w:id="34" w:name="_Toc82521000"/>
      <w:r w:rsidRPr="0064392E">
        <w:t>Успехите през годините</w:t>
      </w:r>
      <w:bookmarkEnd w:id="34"/>
    </w:p>
    <w:bookmarkEnd w:id="23"/>
    <w:bookmarkEnd w:id="24"/>
    <w:bookmarkEnd w:id="25"/>
    <w:bookmarkEnd w:id="26"/>
    <w:bookmarkEnd w:id="27"/>
    <w:bookmarkEnd w:id="28"/>
    <w:bookmarkEnd w:id="29"/>
    <w:bookmarkEnd w:id="30"/>
    <w:bookmarkEnd w:id="31"/>
    <w:bookmarkEnd w:id="32"/>
    <w:bookmarkEnd w:id="33"/>
    <w:p w14:paraId="534E4033" w14:textId="5152B566" w:rsidR="00E9125C" w:rsidRPr="00950C07" w:rsidRDefault="007F77A9" w:rsidP="00CD13DC">
      <w:pPr>
        <w:spacing w:before="120" w:after="0" w:line="240" w:lineRule="auto"/>
        <w:jc w:val="both"/>
        <w:rPr>
          <w:rFonts w:cstheme="minorHAnsi"/>
        </w:rPr>
      </w:pPr>
      <w:r w:rsidRPr="00950C07">
        <w:rPr>
          <w:rFonts w:cstheme="minorHAnsi"/>
        </w:rPr>
        <w:t xml:space="preserve">Прегледът </w:t>
      </w:r>
      <w:r w:rsidR="00136F07" w:rsidRPr="00950C07">
        <w:rPr>
          <w:rFonts w:cstheme="minorHAnsi"/>
        </w:rPr>
        <w:t xml:space="preserve">на докладите на Сметната палата </w:t>
      </w:r>
      <w:r w:rsidR="00BD691E">
        <w:rPr>
          <w:rFonts w:cstheme="minorHAnsi"/>
        </w:rPr>
        <w:t>идентифицира</w:t>
      </w:r>
      <w:r w:rsidR="00BD691E" w:rsidRPr="00950C07">
        <w:rPr>
          <w:rFonts w:cstheme="minorHAnsi"/>
        </w:rPr>
        <w:t xml:space="preserve"> </w:t>
      </w:r>
      <w:r w:rsidR="001639D4">
        <w:rPr>
          <w:rFonts w:cstheme="minorHAnsi"/>
        </w:rPr>
        <w:t>257</w:t>
      </w:r>
      <w:r w:rsidR="00136F07" w:rsidRPr="00950C07">
        <w:rPr>
          <w:rFonts w:cstheme="minorHAnsi"/>
        </w:rPr>
        <w:t xml:space="preserve"> случая</w:t>
      </w:r>
      <w:r w:rsidR="00BD691E">
        <w:rPr>
          <w:rFonts w:cstheme="minorHAnsi"/>
        </w:rPr>
        <w:t xml:space="preserve"> </w:t>
      </w:r>
      <w:r w:rsidR="0054290E">
        <w:rPr>
          <w:rFonts w:cstheme="minorHAnsi"/>
        </w:rPr>
        <w:t>(</w:t>
      </w:r>
      <w:r w:rsidR="00BD691E" w:rsidRPr="00950C07">
        <w:rPr>
          <w:rFonts w:cstheme="minorHAnsi"/>
        </w:rPr>
        <w:t xml:space="preserve">или 25% от всички </w:t>
      </w:r>
      <w:r w:rsidR="001639D4">
        <w:rPr>
          <w:rFonts w:cstheme="minorHAnsi"/>
        </w:rPr>
        <w:t>1035</w:t>
      </w:r>
      <w:r w:rsidR="00BD691E" w:rsidRPr="00950C07">
        <w:rPr>
          <w:rFonts w:cstheme="minorHAnsi"/>
        </w:rPr>
        <w:t xml:space="preserve"> разгледани доклада</w:t>
      </w:r>
      <w:r w:rsidR="0054290E">
        <w:rPr>
          <w:rFonts w:cstheme="minorHAnsi"/>
        </w:rPr>
        <w:t>)</w:t>
      </w:r>
      <w:r w:rsidR="00136F07" w:rsidRPr="00950C07">
        <w:rPr>
          <w:rFonts w:cstheme="minorHAnsi"/>
        </w:rPr>
        <w:t xml:space="preserve"> като </w:t>
      </w:r>
      <w:r w:rsidR="00BD691E">
        <w:rPr>
          <w:rFonts w:cstheme="minorHAnsi"/>
        </w:rPr>
        <w:t>„</w:t>
      </w:r>
      <w:r w:rsidR="00136F07" w:rsidRPr="00950C07">
        <w:rPr>
          <w:rFonts w:cstheme="minorHAnsi"/>
        </w:rPr>
        <w:t>успех</w:t>
      </w:r>
      <w:r w:rsidR="00BD691E">
        <w:rPr>
          <w:rFonts w:cstheme="minorHAnsi"/>
        </w:rPr>
        <w:t>“</w:t>
      </w:r>
      <w:r w:rsidR="00136F07" w:rsidRPr="00950C07">
        <w:rPr>
          <w:rFonts w:cstheme="minorHAnsi"/>
        </w:rPr>
        <w:t xml:space="preserve">. </w:t>
      </w:r>
      <w:r w:rsidR="00E9125C" w:rsidRPr="00950C07">
        <w:rPr>
          <w:rFonts w:cstheme="minorHAnsi"/>
        </w:rPr>
        <w:t xml:space="preserve">Сумата на всички </w:t>
      </w:r>
      <w:r w:rsidR="00610A1F">
        <w:rPr>
          <w:rFonts w:cstheme="minorHAnsi"/>
        </w:rPr>
        <w:t xml:space="preserve">публични дейности и програми, оценени като </w:t>
      </w:r>
      <w:r w:rsidR="00E9125C" w:rsidRPr="00950C07">
        <w:rPr>
          <w:rFonts w:cstheme="minorHAnsi"/>
        </w:rPr>
        <w:t>успех</w:t>
      </w:r>
      <w:r w:rsidR="00610A1F">
        <w:rPr>
          <w:rFonts w:cstheme="minorHAnsi"/>
        </w:rPr>
        <w:t>,</w:t>
      </w:r>
      <w:r w:rsidR="00E9125C" w:rsidRPr="00950C07">
        <w:rPr>
          <w:rFonts w:cstheme="minorHAnsi"/>
        </w:rPr>
        <w:t xml:space="preserve"> е </w:t>
      </w:r>
      <w:r w:rsidR="001639D4">
        <w:rPr>
          <w:rFonts w:cstheme="minorHAnsi"/>
        </w:rPr>
        <w:t>35</w:t>
      </w:r>
      <w:r w:rsidR="00E9125C" w:rsidRPr="00950C07">
        <w:rPr>
          <w:rFonts w:cstheme="minorHAnsi"/>
        </w:rPr>
        <w:t xml:space="preserve"> млрд. лв. или 2</w:t>
      </w:r>
      <w:r w:rsidR="00A2789E" w:rsidRPr="00950C07">
        <w:rPr>
          <w:rFonts w:cstheme="minorHAnsi"/>
        </w:rPr>
        <w:t>3</w:t>
      </w:r>
      <w:r w:rsidR="00E9125C" w:rsidRPr="00950C07">
        <w:rPr>
          <w:rFonts w:cstheme="minorHAnsi"/>
        </w:rPr>
        <w:t xml:space="preserve">% от сумите на всички </w:t>
      </w:r>
      <w:r w:rsidR="00610A1F">
        <w:rPr>
          <w:rFonts w:cstheme="minorHAnsi"/>
        </w:rPr>
        <w:t xml:space="preserve">дейности, обхванати в </w:t>
      </w:r>
      <w:r w:rsidR="00E9125C" w:rsidRPr="00950C07">
        <w:rPr>
          <w:rFonts w:cstheme="minorHAnsi"/>
        </w:rPr>
        <w:t>доклади</w:t>
      </w:r>
      <w:r w:rsidR="00610A1F">
        <w:rPr>
          <w:rFonts w:cstheme="minorHAnsi"/>
        </w:rPr>
        <w:t>те</w:t>
      </w:r>
      <w:r w:rsidR="00E9125C" w:rsidRPr="00950C07">
        <w:rPr>
          <w:rFonts w:cstheme="minorHAnsi"/>
        </w:rPr>
        <w:t>.</w:t>
      </w:r>
    </w:p>
    <w:p w14:paraId="7391846A" w14:textId="184C14F2" w:rsidR="0038646A" w:rsidRDefault="00136F07" w:rsidP="00CD13DC">
      <w:pPr>
        <w:spacing w:before="120" w:after="0" w:line="240" w:lineRule="auto"/>
        <w:jc w:val="both"/>
        <w:rPr>
          <w:rFonts w:cstheme="minorHAnsi"/>
        </w:rPr>
      </w:pPr>
      <w:r w:rsidRPr="00950C07">
        <w:rPr>
          <w:rFonts w:cstheme="minorHAnsi"/>
        </w:rPr>
        <w:t xml:space="preserve">Процентното съотношение на </w:t>
      </w:r>
      <w:r w:rsidR="00E9125C" w:rsidRPr="00950C07">
        <w:rPr>
          <w:rFonts w:cstheme="minorHAnsi"/>
        </w:rPr>
        <w:t xml:space="preserve">броя на </w:t>
      </w:r>
      <w:r w:rsidRPr="00950C07">
        <w:rPr>
          <w:rFonts w:cstheme="minorHAnsi"/>
        </w:rPr>
        <w:t xml:space="preserve">успехите през годините като цяло се задържа </w:t>
      </w:r>
      <w:r w:rsidR="00A2789E" w:rsidRPr="00950C07">
        <w:rPr>
          <w:rFonts w:cstheme="minorHAnsi"/>
        </w:rPr>
        <w:t xml:space="preserve">сравнително </w:t>
      </w:r>
      <w:r w:rsidR="009F6D57">
        <w:rPr>
          <w:rFonts w:cstheme="minorHAnsi"/>
        </w:rPr>
        <w:t>стабилно.</w:t>
      </w:r>
    </w:p>
    <w:p w14:paraId="39CC3F49" w14:textId="77777777" w:rsidR="00CF0DAF" w:rsidRPr="008861B6" w:rsidRDefault="00CF0DAF" w:rsidP="00CD13DC">
      <w:pPr>
        <w:spacing w:before="120" w:after="0" w:line="240" w:lineRule="auto"/>
        <w:jc w:val="both"/>
        <w:rPr>
          <w:rFonts w:cstheme="minorHAnsi"/>
        </w:rPr>
      </w:pPr>
    </w:p>
    <w:p w14:paraId="2CF1E149" w14:textId="5A7FEEB0" w:rsidR="007F7703" w:rsidRDefault="007F7703" w:rsidP="004C0B5B">
      <w:pPr>
        <w:keepNext/>
        <w:shd w:val="clear" w:color="auto" w:fill="BFBFBF" w:themeFill="background1" w:themeFillShade="BF"/>
        <w:spacing w:after="0" w:line="240" w:lineRule="auto"/>
        <w:jc w:val="center"/>
        <w:rPr>
          <w:rFonts w:cstheme="minorHAnsi"/>
          <w:b/>
        </w:rPr>
      </w:pPr>
      <w:r w:rsidRPr="00950C07">
        <w:rPr>
          <w:rFonts w:cstheme="minorHAnsi"/>
          <w:b/>
        </w:rPr>
        <w:t xml:space="preserve">Разглеждани случаи на правителствен </w:t>
      </w:r>
      <w:r w:rsidRPr="00950C07">
        <w:rPr>
          <w:rFonts w:cstheme="minorHAnsi"/>
          <w:b/>
          <w:color w:val="76923C" w:themeColor="accent3" w:themeShade="BF"/>
        </w:rPr>
        <w:t>УСПЕХ</w:t>
      </w:r>
      <w:r w:rsidRPr="00950C07">
        <w:rPr>
          <w:rFonts w:cstheme="minorHAnsi"/>
          <w:b/>
        </w:rPr>
        <w:t xml:space="preserve"> по години</w:t>
      </w:r>
      <w:r w:rsidR="006C6A22" w:rsidRPr="00950C07">
        <w:rPr>
          <w:rFonts w:cstheme="minorHAnsi"/>
          <w:b/>
        </w:rPr>
        <w:t>, брой</w:t>
      </w:r>
    </w:p>
    <w:p w14:paraId="78F4AE6D" w14:textId="354E106F" w:rsidR="004C0B5B" w:rsidRPr="00950C07" w:rsidRDefault="004C0B5B" w:rsidP="004C0B5B">
      <w:pPr>
        <w:keepNext/>
        <w:shd w:val="clear" w:color="auto" w:fill="BFBFBF" w:themeFill="background1" w:themeFillShade="BF"/>
        <w:spacing w:after="0" w:line="240" w:lineRule="auto"/>
        <w:jc w:val="center"/>
        <w:rPr>
          <w:rFonts w:cstheme="minorHAnsi"/>
          <w:b/>
        </w:rPr>
      </w:pPr>
      <w:r w:rsidRPr="00950C07">
        <w:rPr>
          <w:rFonts w:cstheme="minorHAnsi"/>
          <w:bCs/>
        </w:rPr>
        <w:t>(ИПИ по данни на Сметната палата)</w:t>
      </w:r>
    </w:p>
    <w:p w14:paraId="565C88DB" w14:textId="64AF8BE2" w:rsidR="006C6A22" w:rsidRPr="00950C07" w:rsidRDefault="001639D4" w:rsidP="00CD13DC">
      <w:pPr>
        <w:spacing w:before="120" w:after="0" w:line="240" w:lineRule="auto"/>
        <w:jc w:val="both"/>
        <w:rPr>
          <w:rFonts w:cstheme="minorHAnsi"/>
          <w:b/>
          <w:noProof/>
          <w:lang w:val="en-US" w:eastAsia="en-US"/>
        </w:rPr>
      </w:pPr>
      <w:r w:rsidRPr="008861B6">
        <w:rPr>
          <w:noProof/>
          <w:shd w:val="clear" w:color="auto" w:fill="9BBB59" w:themeFill="accent3"/>
          <w:lang w:val="en-US" w:eastAsia="en-US"/>
        </w:rPr>
        <w:drawing>
          <wp:inline distT="0" distB="0" distL="0" distR="0" wp14:anchorId="3D963AEA" wp14:editId="64256085">
            <wp:extent cx="5760720" cy="25920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2860473" w14:textId="6FC752FF" w:rsidR="006A44FB" w:rsidRPr="008861B6" w:rsidRDefault="006A44FB" w:rsidP="00CD13DC">
      <w:pPr>
        <w:autoSpaceDE w:val="0"/>
        <w:autoSpaceDN w:val="0"/>
        <w:adjustRightInd w:val="0"/>
        <w:spacing w:before="120" w:after="0" w:line="240" w:lineRule="auto"/>
        <w:jc w:val="both"/>
        <w:rPr>
          <w:rFonts w:cstheme="minorHAnsi"/>
          <w:i/>
          <w:sz w:val="18"/>
          <w:szCs w:val="18"/>
        </w:rPr>
      </w:pPr>
      <w:r w:rsidRPr="00950C07">
        <w:rPr>
          <w:rFonts w:cstheme="minorHAnsi"/>
          <w:i/>
          <w:sz w:val="18"/>
          <w:szCs w:val="18"/>
        </w:rPr>
        <w:t xml:space="preserve">Забележка: Намаляващият брой на успехите на правителствата </w:t>
      </w:r>
      <w:r w:rsidR="00162114" w:rsidRPr="00950C07">
        <w:rPr>
          <w:rFonts w:cstheme="minorHAnsi"/>
          <w:i/>
          <w:sz w:val="18"/>
          <w:szCs w:val="18"/>
        </w:rPr>
        <w:t xml:space="preserve">през последните години </w:t>
      </w:r>
      <w:r w:rsidRPr="00950C07">
        <w:rPr>
          <w:rFonts w:cstheme="minorHAnsi"/>
          <w:i/>
          <w:sz w:val="18"/>
          <w:szCs w:val="18"/>
        </w:rPr>
        <w:t xml:space="preserve">е в пряка връзка с  все по-малкия брой одитирани </w:t>
      </w:r>
      <w:r w:rsidR="0054290E">
        <w:rPr>
          <w:rFonts w:cstheme="minorHAnsi"/>
          <w:i/>
          <w:sz w:val="18"/>
          <w:szCs w:val="18"/>
        </w:rPr>
        <w:t>структури</w:t>
      </w:r>
      <w:r w:rsidRPr="00950C07">
        <w:rPr>
          <w:rFonts w:cstheme="minorHAnsi"/>
          <w:i/>
          <w:sz w:val="18"/>
          <w:szCs w:val="18"/>
        </w:rPr>
        <w:t xml:space="preserve"> от страна на Сметната палата</w:t>
      </w:r>
      <w:r w:rsidR="00162114" w:rsidRPr="00950C07">
        <w:rPr>
          <w:rFonts w:cstheme="minorHAnsi"/>
          <w:i/>
          <w:sz w:val="18"/>
          <w:szCs w:val="18"/>
        </w:rPr>
        <w:t>.</w:t>
      </w:r>
      <w:r w:rsidRPr="00950C07">
        <w:rPr>
          <w:rFonts w:cstheme="minorHAnsi"/>
          <w:i/>
          <w:sz w:val="18"/>
          <w:szCs w:val="18"/>
        </w:rPr>
        <w:t xml:space="preserve"> </w:t>
      </w:r>
    </w:p>
    <w:p w14:paraId="600C44F3" w14:textId="77777777" w:rsidR="007F68ED" w:rsidRDefault="007F68ED" w:rsidP="00CD13DC">
      <w:pPr>
        <w:autoSpaceDE w:val="0"/>
        <w:autoSpaceDN w:val="0"/>
        <w:adjustRightInd w:val="0"/>
        <w:spacing w:before="120" w:after="0" w:line="240" w:lineRule="auto"/>
        <w:jc w:val="both"/>
        <w:rPr>
          <w:rFonts w:cstheme="minorHAnsi"/>
          <w:b/>
          <w:i/>
        </w:rPr>
      </w:pPr>
    </w:p>
    <w:p w14:paraId="1A65A831" w14:textId="71AEF57A" w:rsidR="007F7703" w:rsidRPr="00950C07" w:rsidRDefault="007F7703" w:rsidP="00CD13DC">
      <w:pPr>
        <w:autoSpaceDE w:val="0"/>
        <w:autoSpaceDN w:val="0"/>
        <w:adjustRightInd w:val="0"/>
        <w:spacing w:before="120" w:after="0" w:line="240" w:lineRule="auto"/>
        <w:jc w:val="both"/>
        <w:rPr>
          <w:rFonts w:cstheme="minorHAnsi"/>
          <w:b/>
          <w:i/>
        </w:rPr>
      </w:pPr>
      <w:r w:rsidRPr="00950C07">
        <w:rPr>
          <w:rFonts w:cstheme="minorHAnsi"/>
          <w:b/>
          <w:i/>
        </w:rPr>
        <w:t>Примери за успех</w:t>
      </w:r>
      <w:r w:rsidRPr="00950C07">
        <w:rPr>
          <w:rStyle w:val="FootnoteReference"/>
          <w:rFonts w:cstheme="minorHAnsi"/>
          <w:b/>
          <w:i/>
        </w:rPr>
        <w:footnoteReference w:id="4"/>
      </w:r>
    </w:p>
    <w:p w14:paraId="0944E332" w14:textId="58C61404" w:rsidR="00C61E03" w:rsidRDefault="00750B39" w:rsidP="00CD13DC">
      <w:pPr>
        <w:autoSpaceDE w:val="0"/>
        <w:autoSpaceDN w:val="0"/>
        <w:adjustRightInd w:val="0"/>
        <w:spacing w:before="120" w:after="0" w:line="240" w:lineRule="auto"/>
        <w:jc w:val="both"/>
        <w:rPr>
          <w:rFonts w:cstheme="minorHAnsi"/>
        </w:rPr>
      </w:pPr>
      <w:r w:rsidRPr="00950C07">
        <w:rPr>
          <w:rFonts w:cstheme="minorHAnsi"/>
        </w:rPr>
        <w:t xml:space="preserve">Тук ще представим няколко от </w:t>
      </w:r>
      <w:r w:rsidR="00F51B7F">
        <w:rPr>
          <w:rFonts w:cstheme="minorHAnsi"/>
        </w:rPr>
        <w:t>публичните дейности и програми</w:t>
      </w:r>
      <w:r w:rsidRPr="00950C07">
        <w:rPr>
          <w:rFonts w:cstheme="minorHAnsi"/>
        </w:rPr>
        <w:t xml:space="preserve">, които сме определили като успех на базата на предварително определените </w:t>
      </w:r>
      <w:r w:rsidR="00162114" w:rsidRPr="00950C07">
        <w:rPr>
          <w:rFonts w:cstheme="minorHAnsi"/>
        </w:rPr>
        <w:t>критерии</w:t>
      </w:r>
      <w:r w:rsidRPr="00950C07">
        <w:rPr>
          <w:rFonts w:cstheme="minorHAnsi"/>
        </w:rPr>
        <w:t xml:space="preserve">. </w:t>
      </w:r>
      <w:r w:rsidR="006C636D" w:rsidRPr="00950C07">
        <w:rPr>
          <w:rFonts w:cstheme="minorHAnsi"/>
        </w:rPr>
        <w:t xml:space="preserve">Следва да се има предвид, че дори и класифицирани като успех част от проектите се нуждаят от допълнително подобряване и все още се наблюдават </w:t>
      </w:r>
      <w:r w:rsidR="001639D4">
        <w:rPr>
          <w:rFonts w:cstheme="minorHAnsi"/>
        </w:rPr>
        <w:t xml:space="preserve">някои нередности и </w:t>
      </w:r>
      <w:r w:rsidR="006C636D" w:rsidRPr="00950C07">
        <w:rPr>
          <w:rFonts w:cstheme="minorHAnsi"/>
        </w:rPr>
        <w:t xml:space="preserve">нарушения в повечето от тях. </w:t>
      </w:r>
    </w:p>
    <w:p w14:paraId="41FAB199" w14:textId="77777777" w:rsidR="00DB327F" w:rsidRPr="00950C07" w:rsidRDefault="00DB327F" w:rsidP="00CD13DC">
      <w:pPr>
        <w:autoSpaceDE w:val="0"/>
        <w:autoSpaceDN w:val="0"/>
        <w:adjustRightInd w:val="0"/>
        <w:spacing w:before="120" w:after="0" w:line="240" w:lineRule="auto"/>
        <w:jc w:val="both"/>
        <w:rPr>
          <w:rFonts w:cstheme="minorHAnsi"/>
        </w:rPr>
      </w:pPr>
    </w:p>
    <w:tbl>
      <w:tblPr>
        <w:tblStyle w:val="TableGrid"/>
        <w:tblW w:w="9322"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3794"/>
        <w:gridCol w:w="2551"/>
        <w:gridCol w:w="1560"/>
        <w:gridCol w:w="1417"/>
      </w:tblGrid>
      <w:tr w:rsidR="00BC5D60" w:rsidRPr="00950C07" w14:paraId="3B58D4FE" w14:textId="77777777" w:rsidTr="007A7EAB">
        <w:trPr>
          <w:trHeight w:val="742"/>
        </w:trPr>
        <w:tc>
          <w:tcPr>
            <w:tcW w:w="7905" w:type="dxa"/>
            <w:gridSpan w:val="3"/>
            <w:vAlign w:val="center"/>
          </w:tcPr>
          <w:p w14:paraId="32CC984E" w14:textId="7BB552D1" w:rsidR="00BC5D60" w:rsidRDefault="00ED5A31" w:rsidP="00CD13DC">
            <w:pPr>
              <w:spacing w:before="120"/>
              <w:jc w:val="center"/>
              <w:rPr>
                <w:rFonts w:asciiTheme="minorHAnsi" w:hAnsiTheme="minorHAnsi" w:cstheme="minorHAnsi"/>
                <w:b/>
              </w:rPr>
            </w:pPr>
            <w:r>
              <w:rPr>
                <w:rFonts w:asciiTheme="minorHAnsi" w:hAnsiTheme="minorHAnsi" w:cstheme="minorHAnsi"/>
                <w:b/>
              </w:rPr>
              <w:t>Управление</w:t>
            </w:r>
            <w:r w:rsidR="00D2135E" w:rsidRPr="00D2135E">
              <w:rPr>
                <w:rFonts w:asciiTheme="minorHAnsi" w:hAnsiTheme="minorHAnsi" w:cstheme="minorHAnsi"/>
                <w:b/>
              </w:rPr>
              <w:t xml:space="preserve"> на публичните средства и дейности на Националното бюро за правна помощ</w:t>
            </w:r>
          </w:p>
          <w:p w14:paraId="75FC59F9" w14:textId="1EF164C8" w:rsidR="00ED5A31" w:rsidRPr="00ED5A31" w:rsidRDefault="00ED5A31" w:rsidP="00CD13DC">
            <w:pPr>
              <w:spacing w:before="120"/>
              <w:jc w:val="center"/>
              <w:rPr>
                <w:rFonts w:asciiTheme="minorHAnsi" w:hAnsiTheme="minorHAnsi" w:cstheme="minorHAnsi"/>
                <w:b/>
                <w:i/>
              </w:rPr>
            </w:pPr>
            <w:r w:rsidRPr="00ED5A31">
              <w:rPr>
                <w:rFonts w:asciiTheme="minorHAnsi" w:hAnsiTheme="minorHAnsi" w:cstheme="minorHAnsi"/>
                <w:b/>
                <w:i/>
              </w:rPr>
              <w:t>Одит за съответствие</w:t>
            </w:r>
          </w:p>
          <w:p w14:paraId="704CFA65" w14:textId="77777777" w:rsidR="004868CC" w:rsidRDefault="004868CC" w:rsidP="00CD13DC">
            <w:pPr>
              <w:spacing w:before="120"/>
              <w:jc w:val="both"/>
              <w:rPr>
                <w:rFonts w:asciiTheme="minorHAnsi" w:hAnsiTheme="minorHAnsi" w:cstheme="minorHAnsi"/>
              </w:rPr>
            </w:pPr>
            <w:r w:rsidRPr="004868CC">
              <w:rPr>
                <w:rFonts w:asciiTheme="minorHAnsi" w:hAnsiTheme="minorHAnsi" w:cstheme="minorHAnsi"/>
              </w:rPr>
              <w:t>Националното бюро за правна помощ (НБПП) е независим държавен орган – юридическо лице, на бюджетна издръжка към министъра на правосъдието, със седалище в гр. София. НБПП организира предоставянето на правна помощ, осъществява общо и методическо ръководство, като издава задължителни указания по прилагане на Закона за правната помощ и подзаконовите нормативни актове, осъществява контрол по предоставянето и заплаща предоставената правна помощ. НБПП е второстепенен разпоредител с бюджет към министъра на правосъдието, който съставя, изпълнява, приключва и отчита самостоятелно бюджета си. Дейността на НБПП се финансира по програма „Равен достъп до правосъдие“ на Министерството на правосъдието. НБПП е орган, който се състои от петима членове: председател, заместник-председател и трима членове. Бюрото се ръководи и представлява от председател.</w:t>
            </w:r>
          </w:p>
          <w:p w14:paraId="6F6BDD79" w14:textId="554C6F0C" w:rsidR="00BC5D60" w:rsidRPr="00950C07" w:rsidRDefault="00BC5D60" w:rsidP="00CD13DC">
            <w:pPr>
              <w:spacing w:before="120"/>
              <w:rPr>
                <w:rFonts w:asciiTheme="minorHAnsi" w:hAnsiTheme="minorHAnsi" w:cstheme="minorHAnsi"/>
                <w:b/>
              </w:rPr>
            </w:pPr>
            <w:r w:rsidRPr="00950C07">
              <w:rPr>
                <w:rFonts w:asciiTheme="minorHAnsi" w:hAnsiTheme="minorHAnsi" w:cstheme="minorHAnsi"/>
                <w:b/>
              </w:rPr>
              <w:t>Ведомство:</w:t>
            </w:r>
          </w:p>
          <w:p w14:paraId="181C5AAE" w14:textId="6E8ABDFE" w:rsidR="00BC5D60" w:rsidRPr="00950C07" w:rsidRDefault="004868CC" w:rsidP="00CD13DC">
            <w:pPr>
              <w:spacing w:before="120"/>
              <w:rPr>
                <w:rFonts w:asciiTheme="minorHAnsi" w:hAnsiTheme="minorHAnsi" w:cstheme="minorHAnsi"/>
              </w:rPr>
            </w:pPr>
            <w:r>
              <w:rPr>
                <w:rFonts w:asciiTheme="minorHAnsi" w:hAnsiTheme="minorHAnsi" w:cstheme="minorHAnsi"/>
              </w:rPr>
              <w:t>Национално бюро за правна помощ</w:t>
            </w:r>
          </w:p>
        </w:tc>
        <w:tc>
          <w:tcPr>
            <w:tcW w:w="1417" w:type="dxa"/>
            <w:vAlign w:val="center"/>
          </w:tcPr>
          <w:p w14:paraId="12CF7219" w14:textId="77777777" w:rsidR="00BC5D60" w:rsidRPr="00950C07" w:rsidRDefault="00BC5D60" w:rsidP="00CD13DC">
            <w:pPr>
              <w:spacing w:before="120"/>
              <w:jc w:val="center"/>
              <w:rPr>
                <w:rFonts w:asciiTheme="minorHAnsi" w:hAnsiTheme="minorHAnsi" w:cstheme="minorHAnsi"/>
              </w:rPr>
            </w:pPr>
            <w:r w:rsidRPr="00950C07">
              <w:rPr>
                <w:rFonts w:asciiTheme="minorHAnsi" w:hAnsiTheme="minorHAnsi" w:cstheme="minorHAnsi"/>
                <w:b/>
                <w:color w:val="9BBB59" w:themeColor="accent3"/>
              </w:rPr>
              <w:t>УСПЕХ</w:t>
            </w:r>
          </w:p>
        </w:tc>
      </w:tr>
      <w:tr w:rsidR="00BC5D60" w:rsidRPr="00950C07" w14:paraId="25CFF2B0" w14:textId="77777777" w:rsidTr="007A7EAB">
        <w:trPr>
          <w:trHeight w:val="742"/>
        </w:trPr>
        <w:tc>
          <w:tcPr>
            <w:tcW w:w="3794" w:type="dxa"/>
          </w:tcPr>
          <w:p w14:paraId="59EFD8AF" w14:textId="77777777" w:rsidR="00BC5D60" w:rsidRPr="00950C07" w:rsidRDefault="00BC5D60"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61588531" w14:textId="705D9403" w:rsidR="00BC5D60" w:rsidRPr="00950C07" w:rsidRDefault="004868CC" w:rsidP="00CD13DC">
            <w:pPr>
              <w:spacing w:before="120"/>
              <w:rPr>
                <w:rFonts w:asciiTheme="minorHAnsi" w:hAnsiTheme="minorHAnsi" w:cstheme="minorHAnsi"/>
                <w:b/>
                <w:color w:val="9BBB59" w:themeColor="accent3"/>
              </w:rPr>
            </w:pPr>
            <w:r>
              <w:rPr>
                <w:rFonts w:asciiTheme="minorHAnsi" w:hAnsiTheme="minorHAnsi" w:cstheme="minorHAnsi"/>
              </w:rPr>
              <w:t>01.01.2018</w:t>
            </w:r>
            <w:r w:rsidR="00BC5D60" w:rsidRPr="00950C07">
              <w:rPr>
                <w:rFonts w:asciiTheme="minorHAnsi" w:hAnsiTheme="minorHAnsi" w:cstheme="minorHAnsi"/>
              </w:rPr>
              <w:t xml:space="preserve"> г. </w:t>
            </w:r>
            <w:r w:rsidR="00B45269" w:rsidRPr="00950C07">
              <w:rPr>
                <w:rFonts w:asciiTheme="minorHAnsi" w:hAnsiTheme="minorHAnsi" w:cstheme="minorHAnsi"/>
              </w:rPr>
              <w:t>–</w:t>
            </w:r>
            <w:r w:rsidR="00BC5D60" w:rsidRPr="00950C07">
              <w:rPr>
                <w:rFonts w:asciiTheme="minorHAnsi" w:hAnsiTheme="minorHAnsi" w:cstheme="minorHAnsi"/>
              </w:rPr>
              <w:t xml:space="preserve"> </w:t>
            </w:r>
            <w:r>
              <w:rPr>
                <w:rFonts w:asciiTheme="minorHAnsi" w:hAnsiTheme="minorHAnsi" w:cstheme="minorHAnsi"/>
              </w:rPr>
              <w:t>30.06.2019</w:t>
            </w:r>
            <w:r w:rsidR="00BC5D60" w:rsidRPr="00950C07">
              <w:rPr>
                <w:rFonts w:asciiTheme="minorHAnsi" w:hAnsiTheme="minorHAnsi" w:cstheme="minorHAnsi"/>
              </w:rPr>
              <w:t xml:space="preserve"> г.</w:t>
            </w:r>
          </w:p>
        </w:tc>
        <w:tc>
          <w:tcPr>
            <w:tcW w:w="2551" w:type="dxa"/>
          </w:tcPr>
          <w:p w14:paraId="1BFA9DEB" w14:textId="77777777" w:rsidR="00BC5D60" w:rsidRPr="00950C07" w:rsidRDefault="00BC5D60"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7888F02C" w14:textId="5D07AC00" w:rsidR="00BC5D60" w:rsidRPr="00950C07" w:rsidRDefault="0026062E" w:rsidP="00CD13DC">
            <w:pPr>
              <w:spacing w:before="120"/>
              <w:rPr>
                <w:rFonts w:asciiTheme="minorHAnsi" w:hAnsiTheme="minorHAnsi" w:cstheme="minorHAnsi"/>
                <w:b/>
              </w:rPr>
            </w:pPr>
            <w:r>
              <w:rPr>
                <w:rFonts w:asciiTheme="minorHAnsi" w:hAnsiTheme="minorHAnsi" w:cstheme="minorHAnsi"/>
              </w:rPr>
              <w:t>11 478 825</w:t>
            </w:r>
            <w:r w:rsidR="00BC5D60" w:rsidRPr="00950C07">
              <w:rPr>
                <w:rFonts w:asciiTheme="minorHAnsi" w:hAnsiTheme="minorHAnsi" w:cstheme="minorHAnsi"/>
              </w:rPr>
              <w:t xml:space="preserve"> лв.</w:t>
            </w:r>
          </w:p>
        </w:tc>
        <w:tc>
          <w:tcPr>
            <w:tcW w:w="2977" w:type="dxa"/>
            <w:gridSpan w:val="2"/>
          </w:tcPr>
          <w:p w14:paraId="3872C3D7" w14:textId="6E2243BB" w:rsidR="00BC5D60" w:rsidRPr="00950C07" w:rsidRDefault="005B287A" w:rsidP="00CD13DC">
            <w:pPr>
              <w:spacing w:before="120"/>
              <w:rPr>
                <w:rFonts w:asciiTheme="minorHAnsi" w:hAnsiTheme="minorHAnsi" w:cstheme="minorHAnsi"/>
                <w:b/>
                <w:color w:val="9BBB59" w:themeColor="accent3"/>
                <w:u w:val="single"/>
              </w:rPr>
            </w:pPr>
            <w:hyperlink r:id="rId41" w:history="1">
              <w:r w:rsidR="00BC5D60" w:rsidRPr="00950C07">
                <w:rPr>
                  <w:rStyle w:val="Hyperlink"/>
                  <w:rFonts w:asciiTheme="minorHAnsi" w:hAnsiTheme="minorHAnsi" w:cstheme="minorHAnsi"/>
                  <w:b/>
                  <w:color w:val="9BBB59" w:themeColor="accent3"/>
                </w:rPr>
                <w:t>Доклад на Сметната палата</w:t>
              </w:r>
            </w:hyperlink>
          </w:p>
        </w:tc>
      </w:tr>
      <w:tr w:rsidR="00BC5D60" w:rsidRPr="00950C07" w14:paraId="0B5CE2AC" w14:textId="77777777" w:rsidTr="007A7EAB">
        <w:tc>
          <w:tcPr>
            <w:tcW w:w="9322" w:type="dxa"/>
            <w:gridSpan w:val="4"/>
            <w:shd w:val="clear" w:color="auto" w:fill="D6E3BC" w:themeFill="accent3" w:themeFillTint="66"/>
          </w:tcPr>
          <w:p w14:paraId="359E0CC6" w14:textId="77777777" w:rsidR="00BC5D60" w:rsidRPr="00950C07" w:rsidRDefault="00BC5D60" w:rsidP="00CD13DC">
            <w:pPr>
              <w:spacing w:before="120"/>
              <w:rPr>
                <w:rFonts w:asciiTheme="minorHAnsi" w:hAnsiTheme="minorHAnsi" w:cstheme="minorHAnsi"/>
                <w:b/>
              </w:rPr>
            </w:pPr>
            <w:r w:rsidRPr="00950C07">
              <w:rPr>
                <w:rFonts w:asciiTheme="minorHAnsi" w:hAnsiTheme="minorHAnsi" w:cstheme="minorHAnsi"/>
                <w:b/>
              </w:rPr>
              <w:t>Причини:</w:t>
            </w:r>
          </w:p>
        </w:tc>
      </w:tr>
      <w:tr w:rsidR="00BC5D60" w:rsidRPr="00950C07" w14:paraId="6ECD9EC3" w14:textId="77777777" w:rsidTr="007A7EAB">
        <w:trPr>
          <w:trHeight w:val="2040"/>
        </w:trPr>
        <w:tc>
          <w:tcPr>
            <w:tcW w:w="9322" w:type="dxa"/>
            <w:gridSpan w:val="4"/>
          </w:tcPr>
          <w:p w14:paraId="27998907" w14:textId="6CE9A8EC" w:rsidR="0026062E" w:rsidRPr="0026062E" w:rsidRDefault="0026062E" w:rsidP="00CD13DC">
            <w:pPr>
              <w:pStyle w:val="ListParagraph"/>
              <w:numPr>
                <w:ilvl w:val="0"/>
                <w:numId w:val="18"/>
              </w:numPr>
              <w:spacing w:before="120"/>
              <w:ind w:left="714" w:hanging="357"/>
              <w:contextualSpacing w:val="0"/>
              <w:jc w:val="both"/>
              <w:rPr>
                <w:rFonts w:asciiTheme="minorHAnsi" w:eastAsia="Times New Roman" w:hAnsiTheme="minorHAnsi" w:cstheme="minorHAnsi"/>
              </w:rPr>
            </w:pPr>
            <w:r w:rsidRPr="0026062E">
              <w:rPr>
                <w:rFonts w:asciiTheme="minorHAnsi" w:eastAsia="Times New Roman" w:hAnsiTheme="minorHAnsi" w:cstheme="minorHAnsi"/>
              </w:rPr>
              <w:t>Изследваните разходи за издръжка - материали, външни услуги, вода, горива и енергия, както и капиталовите разходи са извършени в съответствие с приложимата правна рамка и договорите.</w:t>
            </w:r>
          </w:p>
          <w:p w14:paraId="5B026530" w14:textId="1515B71E" w:rsidR="0026062E" w:rsidRPr="0026062E" w:rsidRDefault="0026062E" w:rsidP="00CD13DC">
            <w:pPr>
              <w:pStyle w:val="ListParagraph"/>
              <w:numPr>
                <w:ilvl w:val="0"/>
                <w:numId w:val="18"/>
              </w:numPr>
              <w:spacing w:before="120"/>
              <w:ind w:left="714" w:hanging="357"/>
              <w:contextualSpacing w:val="0"/>
              <w:jc w:val="both"/>
              <w:rPr>
                <w:rFonts w:asciiTheme="minorHAnsi" w:eastAsia="Times New Roman" w:hAnsiTheme="minorHAnsi" w:cstheme="minorHAnsi"/>
              </w:rPr>
            </w:pPr>
            <w:r w:rsidRPr="0026062E">
              <w:rPr>
                <w:rFonts w:asciiTheme="minorHAnsi" w:eastAsia="Times New Roman" w:hAnsiTheme="minorHAnsi" w:cstheme="minorHAnsi"/>
              </w:rPr>
              <w:t>През одитирания период назначаването и повишаването в длъжност на държавни служители е в съответствие с изискванията на правната рамка.</w:t>
            </w:r>
          </w:p>
          <w:p w14:paraId="7D1EAF2B" w14:textId="3B43341B" w:rsidR="0026062E" w:rsidRPr="0026062E" w:rsidRDefault="0026062E" w:rsidP="00CD13DC">
            <w:pPr>
              <w:pStyle w:val="ListParagraph"/>
              <w:numPr>
                <w:ilvl w:val="0"/>
                <w:numId w:val="18"/>
              </w:numPr>
              <w:spacing w:before="120"/>
              <w:ind w:left="714" w:hanging="357"/>
              <w:contextualSpacing w:val="0"/>
              <w:jc w:val="both"/>
              <w:rPr>
                <w:rFonts w:asciiTheme="minorHAnsi" w:eastAsia="Times New Roman" w:hAnsiTheme="minorHAnsi" w:cstheme="minorHAnsi"/>
              </w:rPr>
            </w:pPr>
            <w:r w:rsidRPr="0026062E">
              <w:rPr>
                <w:rFonts w:asciiTheme="minorHAnsi" w:hAnsiTheme="minorHAnsi"/>
              </w:rPr>
              <w:t>Изследваните разходи за предоставяне на правна помощ чрез процесуално представителство са извършени в съответствие с изискванията на приложимите нормативни и вътрешни актове.</w:t>
            </w:r>
          </w:p>
          <w:p w14:paraId="667698B7" w14:textId="03C92349" w:rsidR="00BC5D60" w:rsidRPr="0026062E" w:rsidRDefault="0026062E" w:rsidP="00CD13DC">
            <w:pPr>
              <w:pStyle w:val="ListParagraph"/>
              <w:numPr>
                <w:ilvl w:val="0"/>
                <w:numId w:val="18"/>
              </w:numPr>
              <w:spacing w:before="120"/>
              <w:ind w:left="714" w:hanging="357"/>
              <w:contextualSpacing w:val="0"/>
              <w:jc w:val="both"/>
              <w:rPr>
                <w:rFonts w:asciiTheme="minorHAnsi" w:eastAsia="Times New Roman" w:hAnsiTheme="minorHAnsi" w:cstheme="minorHAnsi"/>
              </w:rPr>
            </w:pPr>
            <w:r w:rsidRPr="0026062E">
              <w:rPr>
                <w:rFonts w:asciiTheme="minorHAnsi" w:eastAsia="Times New Roman" w:hAnsiTheme="minorHAnsi" w:cstheme="minorHAnsi"/>
              </w:rPr>
              <w:t>Създадената организация при финансовото управление и контрол на бюджетните средства не осигурява в пълна степен разграничаване на правомощията и задълженията на съответните длъжностни лица по отношение на одобряване (вземане на решение) и контрол при част от извършваните разходи, каквото е изискването на ЗФУКПС. По време на одита от председателя на НБПП са предприети действия за изменение на правилата, като процедурата по одобряването на посочените разходи е възложена на друго длъжностно лице.</w:t>
            </w:r>
          </w:p>
        </w:tc>
      </w:tr>
    </w:tbl>
    <w:p w14:paraId="61508976" w14:textId="77777777" w:rsidR="00421952" w:rsidRPr="00950C07" w:rsidRDefault="00421952" w:rsidP="00CD13DC">
      <w:pPr>
        <w:autoSpaceDE w:val="0"/>
        <w:autoSpaceDN w:val="0"/>
        <w:adjustRightInd w:val="0"/>
        <w:spacing w:before="120" w:after="0" w:line="240" w:lineRule="auto"/>
        <w:jc w:val="both"/>
        <w:rPr>
          <w:rFonts w:cstheme="minorHAnsi"/>
        </w:rPr>
      </w:pPr>
    </w:p>
    <w:tbl>
      <w:tblPr>
        <w:tblStyle w:val="TableGrid"/>
        <w:tblW w:w="9322"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3794"/>
        <w:gridCol w:w="2551"/>
        <w:gridCol w:w="1560"/>
        <w:gridCol w:w="1417"/>
      </w:tblGrid>
      <w:tr w:rsidR="00601A8E" w:rsidRPr="00950C07" w14:paraId="2C7820A9" w14:textId="77777777" w:rsidTr="007A7EAB">
        <w:trPr>
          <w:trHeight w:val="742"/>
        </w:trPr>
        <w:tc>
          <w:tcPr>
            <w:tcW w:w="7905" w:type="dxa"/>
            <w:gridSpan w:val="3"/>
            <w:vAlign w:val="center"/>
          </w:tcPr>
          <w:p w14:paraId="148D4AE0" w14:textId="1ED984FA" w:rsidR="00421952" w:rsidRDefault="00ED5A31" w:rsidP="00CD13DC">
            <w:pPr>
              <w:spacing w:before="120"/>
              <w:jc w:val="center"/>
              <w:rPr>
                <w:rFonts w:asciiTheme="minorHAnsi" w:hAnsiTheme="minorHAnsi" w:cstheme="minorHAnsi"/>
                <w:b/>
              </w:rPr>
            </w:pPr>
            <w:r>
              <w:rPr>
                <w:rFonts w:asciiTheme="minorHAnsi" w:hAnsiTheme="minorHAnsi" w:cstheme="minorHAnsi"/>
                <w:b/>
              </w:rPr>
              <w:t>У</w:t>
            </w:r>
            <w:r w:rsidR="00C36DCA" w:rsidRPr="001D068D">
              <w:rPr>
                <w:rFonts w:asciiTheme="minorHAnsi" w:hAnsiTheme="minorHAnsi" w:cstheme="minorHAnsi"/>
                <w:b/>
              </w:rPr>
              <w:t xml:space="preserve">правлението на публичните средства и дейности на </w:t>
            </w:r>
            <w:r w:rsidR="004C2B48">
              <w:rPr>
                <w:rFonts w:asciiTheme="minorHAnsi" w:hAnsiTheme="minorHAnsi" w:cstheme="minorHAnsi"/>
                <w:b/>
              </w:rPr>
              <w:t>Министерството на транспорта, информационните технологии и съобщенията</w:t>
            </w:r>
          </w:p>
          <w:p w14:paraId="0D56008B" w14:textId="2A81B0F0" w:rsidR="00ED5A31" w:rsidRPr="00ED5A31" w:rsidRDefault="00ED5A31" w:rsidP="00CD13DC">
            <w:pPr>
              <w:spacing w:before="120"/>
              <w:jc w:val="center"/>
              <w:rPr>
                <w:rFonts w:asciiTheme="minorHAnsi" w:hAnsiTheme="minorHAnsi" w:cstheme="minorHAnsi"/>
                <w:b/>
                <w:i/>
              </w:rPr>
            </w:pPr>
            <w:r w:rsidRPr="00ED5A31">
              <w:rPr>
                <w:rFonts w:asciiTheme="minorHAnsi" w:hAnsiTheme="minorHAnsi" w:cstheme="minorHAnsi"/>
                <w:b/>
                <w:i/>
              </w:rPr>
              <w:t>Одит за съответствие</w:t>
            </w:r>
          </w:p>
          <w:p w14:paraId="445B19A9" w14:textId="344D290E" w:rsidR="004C2B48" w:rsidRPr="004C2B48" w:rsidRDefault="004C2B48" w:rsidP="00CD13DC">
            <w:pPr>
              <w:spacing w:before="120"/>
              <w:jc w:val="both"/>
              <w:rPr>
                <w:rFonts w:asciiTheme="minorHAnsi" w:hAnsiTheme="minorHAnsi" w:cstheme="minorHAnsi"/>
                <w:b/>
              </w:rPr>
            </w:pPr>
            <w:r w:rsidRPr="004C2B48">
              <w:rPr>
                <w:rFonts w:asciiTheme="minorHAnsi" w:hAnsiTheme="minorHAnsi"/>
              </w:rPr>
              <w:t>Министерството на транспорта, информационните технологии и съобщенията е юридическо лице на бюджетна издръжка, със седал</w:t>
            </w:r>
            <w:r>
              <w:rPr>
                <w:rFonts w:asciiTheme="minorHAnsi" w:hAnsiTheme="minorHAnsi"/>
              </w:rPr>
              <w:t>ище София</w:t>
            </w:r>
            <w:r w:rsidRPr="004C2B48">
              <w:rPr>
                <w:rFonts w:asciiTheme="minorHAnsi" w:hAnsiTheme="minorHAnsi"/>
              </w:rPr>
              <w:t>. Министерството е организирано в дирекции, които подпомагат министъра на транспорта, информационните технологии и съобщенията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 Министърът на транспорта, информационните технологии и съобщенията е централен едноличен орган на изпълнителната власт за провеждане на държавната политика в областта на транспорта, информационните технологии, съобщенията и електронното управление. Той ръководи и представлява Министерството.</w:t>
            </w:r>
          </w:p>
          <w:p w14:paraId="21DAD881" w14:textId="7AF5D78C" w:rsidR="00601A8E" w:rsidRPr="008061DD" w:rsidRDefault="00601A8E" w:rsidP="00CD13DC">
            <w:pPr>
              <w:spacing w:before="120"/>
              <w:jc w:val="both"/>
              <w:rPr>
                <w:rFonts w:asciiTheme="minorHAnsi" w:hAnsiTheme="minorHAnsi" w:cstheme="minorHAnsi"/>
              </w:rPr>
            </w:pPr>
            <w:r w:rsidRPr="00950C07">
              <w:rPr>
                <w:rFonts w:asciiTheme="minorHAnsi" w:hAnsiTheme="minorHAnsi" w:cstheme="minorHAnsi"/>
                <w:b/>
              </w:rPr>
              <w:t>Ведомство:</w:t>
            </w:r>
          </w:p>
          <w:p w14:paraId="63B096BE" w14:textId="77D7E666" w:rsidR="00601A8E" w:rsidRPr="00950C07" w:rsidRDefault="008061DD" w:rsidP="00CD13DC">
            <w:pPr>
              <w:spacing w:before="120"/>
              <w:rPr>
                <w:rFonts w:asciiTheme="minorHAnsi" w:hAnsiTheme="minorHAnsi" w:cstheme="minorHAnsi"/>
              </w:rPr>
            </w:pPr>
            <w:r>
              <w:rPr>
                <w:rFonts w:asciiTheme="minorHAnsi" w:hAnsiTheme="minorHAnsi" w:cstheme="minorHAnsi"/>
              </w:rPr>
              <w:t>Комисия за защита на конкуренцията</w:t>
            </w:r>
            <w:r w:rsidR="003A3148" w:rsidRPr="00950C07">
              <w:rPr>
                <w:rFonts w:asciiTheme="minorHAnsi" w:hAnsiTheme="minorHAnsi" w:cstheme="minorHAnsi"/>
              </w:rPr>
              <w:t xml:space="preserve"> </w:t>
            </w:r>
          </w:p>
        </w:tc>
        <w:tc>
          <w:tcPr>
            <w:tcW w:w="1417" w:type="dxa"/>
            <w:vAlign w:val="center"/>
          </w:tcPr>
          <w:p w14:paraId="0893E300" w14:textId="77777777" w:rsidR="00601A8E" w:rsidRPr="00950C07" w:rsidRDefault="00601A8E" w:rsidP="00CD13DC">
            <w:pPr>
              <w:spacing w:before="120"/>
              <w:jc w:val="center"/>
              <w:rPr>
                <w:rFonts w:asciiTheme="minorHAnsi" w:hAnsiTheme="minorHAnsi" w:cstheme="minorHAnsi"/>
              </w:rPr>
            </w:pPr>
            <w:r w:rsidRPr="00950C07">
              <w:rPr>
                <w:rFonts w:asciiTheme="minorHAnsi" w:hAnsiTheme="minorHAnsi" w:cstheme="minorHAnsi"/>
                <w:b/>
                <w:color w:val="9BBB59" w:themeColor="accent3"/>
              </w:rPr>
              <w:t>УСПЕХ</w:t>
            </w:r>
          </w:p>
        </w:tc>
      </w:tr>
      <w:tr w:rsidR="00601A8E" w:rsidRPr="00950C07" w14:paraId="73D5F9EC" w14:textId="77777777" w:rsidTr="007A7EAB">
        <w:trPr>
          <w:trHeight w:val="742"/>
        </w:trPr>
        <w:tc>
          <w:tcPr>
            <w:tcW w:w="3794" w:type="dxa"/>
          </w:tcPr>
          <w:p w14:paraId="1789CCF0"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1C87C8FD" w14:textId="7C9CE9BF" w:rsidR="00601A8E" w:rsidRPr="00950C07" w:rsidRDefault="00601A8E" w:rsidP="00CD13DC">
            <w:pPr>
              <w:spacing w:before="120"/>
              <w:rPr>
                <w:rFonts w:asciiTheme="minorHAnsi" w:hAnsiTheme="minorHAnsi" w:cstheme="minorHAnsi"/>
                <w:b/>
                <w:color w:val="9BBB59" w:themeColor="accent3"/>
              </w:rPr>
            </w:pPr>
            <w:r w:rsidRPr="00950C07">
              <w:rPr>
                <w:rFonts w:asciiTheme="minorHAnsi" w:hAnsiTheme="minorHAnsi" w:cstheme="minorHAnsi"/>
              </w:rPr>
              <w:t>01.01.201</w:t>
            </w:r>
            <w:r w:rsidR="00B44ED6">
              <w:rPr>
                <w:rFonts w:asciiTheme="minorHAnsi" w:hAnsiTheme="minorHAnsi" w:cstheme="minorHAnsi"/>
              </w:rPr>
              <w:t>7</w:t>
            </w:r>
            <w:r w:rsidRPr="00950C07">
              <w:rPr>
                <w:rFonts w:asciiTheme="minorHAnsi" w:hAnsiTheme="minorHAnsi" w:cstheme="minorHAnsi"/>
              </w:rPr>
              <w:t xml:space="preserve"> г. - 3</w:t>
            </w:r>
            <w:r w:rsidR="00B44ED6">
              <w:rPr>
                <w:rFonts w:asciiTheme="minorHAnsi" w:hAnsiTheme="minorHAnsi" w:cstheme="minorHAnsi"/>
              </w:rPr>
              <w:t>0</w:t>
            </w:r>
            <w:r w:rsidRPr="00950C07">
              <w:rPr>
                <w:rFonts w:asciiTheme="minorHAnsi" w:hAnsiTheme="minorHAnsi" w:cstheme="minorHAnsi"/>
              </w:rPr>
              <w:t>.</w:t>
            </w:r>
            <w:r w:rsidR="00B44ED6">
              <w:rPr>
                <w:rFonts w:asciiTheme="minorHAnsi" w:hAnsiTheme="minorHAnsi" w:cstheme="minorHAnsi"/>
              </w:rPr>
              <w:t>06</w:t>
            </w:r>
            <w:r w:rsidRPr="00950C07">
              <w:rPr>
                <w:rFonts w:asciiTheme="minorHAnsi" w:hAnsiTheme="minorHAnsi" w:cstheme="minorHAnsi"/>
              </w:rPr>
              <w:t>.201</w:t>
            </w:r>
            <w:r w:rsidR="00B44ED6">
              <w:rPr>
                <w:rFonts w:asciiTheme="minorHAnsi" w:hAnsiTheme="minorHAnsi" w:cstheme="minorHAnsi"/>
              </w:rPr>
              <w:t>8</w:t>
            </w:r>
            <w:r w:rsidRPr="00950C07">
              <w:rPr>
                <w:rFonts w:asciiTheme="minorHAnsi" w:hAnsiTheme="minorHAnsi" w:cstheme="minorHAnsi"/>
              </w:rPr>
              <w:t xml:space="preserve"> г.</w:t>
            </w:r>
          </w:p>
        </w:tc>
        <w:tc>
          <w:tcPr>
            <w:tcW w:w="2551" w:type="dxa"/>
          </w:tcPr>
          <w:p w14:paraId="2036556C"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5F77DCF6" w14:textId="7050D238" w:rsidR="00601A8E" w:rsidRPr="00950C07" w:rsidRDefault="00B44ED6" w:rsidP="00CD13DC">
            <w:pPr>
              <w:spacing w:before="120"/>
              <w:rPr>
                <w:rFonts w:asciiTheme="minorHAnsi" w:hAnsiTheme="minorHAnsi" w:cstheme="minorHAnsi"/>
                <w:b/>
              </w:rPr>
            </w:pPr>
            <w:r>
              <w:rPr>
                <w:rFonts w:asciiTheme="minorHAnsi" w:hAnsiTheme="minorHAnsi" w:cstheme="minorHAnsi"/>
              </w:rPr>
              <w:t>392 154 369</w:t>
            </w:r>
            <w:r w:rsidR="00C36DCA" w:rsidRPr="00950C07">
              <w:rPr>
                <w:rFonts w:asciiTheme="minorHAnsi" w:hAnsiTheme="minorHAnsi" w:cstheme="minorHAnsi"/>
                <w:lang w:val="en-US"/>
              </w:rPr>
              <w:t xml:space="preserve"> </w:t>
            </w:r>
            <w:r w:rsidR="00601A8E" w:rsidRPr="00950C07">
              <w:rPr>
                <w:rFonts w:asciiTheme="minorHAnsi" w:hAnsiTheme="minorHAnsi" w:cstheme="minorHAnsi"/>
              </w:rPr>
              <w:t>лв.</w:t>
            </w:r>
          </w:p>
        </w:tc>
        <w:tc>
          <w:tcPr>
            <w:tcW w:w="2977" w:type="dxa"/>
            <w:gridSpan w:val="2"/>
          </w:tcPr>
          <w:p w14:paraId="1464A336" w14:textId="73C9242F" w:rsidR="00601A8E" w:rsidRPr="00950C07" w:rsidRDefault="005B287A" w:rsidP="00CD13DC">
            <w:pPr>
              <w:spacing w:before="120"/>
              <w:rPr>
                <w:rFonts w:asciiTheme="minorHAnsi" w:hAnsiTheme="minorHAnsi" w:cstheme="minorHAnsi"/>
                <w:b/>
                <w:color w:val="9BBB59" w:themeColor="accent3"/>
                <w:u w:val="single"/>
              </w:rPr>
            </w:pPr>
            <w:hyperlink r:id="rId42" w:history="1">
              <w:r w:rsidR="00601A8E" w:rsidRPr="00615E35">
                <w:rPr>
                  <w:rStyle w:val="Hyperlink"/>
                  <w:rFonts w:asciiTheme="minorHAnsi" w:hAnsiTheme="minorHAnsi" w:cstheme="minorHAnsi"/>
                  <w:b/>
                  <w:color w:val="9BBB59" w:themeColor="accent3"/>
                </w:rPr>
                <w:t>Доклад на Сметната палата</w:t>
              </w:r>
            </w:hyperlink>
          </w:p>
        </w:tc>
      </w:tr>
      <w:tr w:rsidR="00601A8E" w:rsidRPr="00950C07" w14:paraId="5C54D3B5" w14:textId="77777777" w:rsidTr="007A7EAB">
        <w:tc>
          <w:tcPr>
            <w:tcW w:w="9322" w:type="dxa"/>
            <w:gridSpan w:val="4"/>
            <w:shd w:val="clear" w:color="auto" w:fill="D6E3BC" w:themeFill="accent3" w:themeFillTint="66"/>
          </w:tcPr>
          <w:p w14:paraId="72E1D27C"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Причини:</w:t>
            </w:r>
          </w:p>
        </w:tc>
      </w:tr>
      <w:tr w:rsidR="00601A8E" w:rsidRPr="00950C07" w14:paraId="4DF1EA81" w14:textId="77777777" w:rsidTr="00162114">
        <w:trPr>
          <w:trHeight w:val="426"/>
        </w:trPr>
        <w:tc>
          <w:tcPr>
            <w:tcW w:w="9322" w:type="dxa"/>
            <w:gridSpan w:val="4"/>
          </w:tcPr>
          <w:p w14:paraId="28FCD1EF" w14:textId="72C67A17" w:rsidR="004C2B48" w:rsidRDefault="004C2B48" w:rsidP="00CD13DC">
            <w:pPr>
              <w:pStyle w:val="ListParagraph"/>
              <w:numPr>
                <w:ilvl w:val="0"/>
                <w:numId w:val="22"/>
              </w:numPr>
              <w:spacing w:before="120"/>
              <w:contextualSpacing w:val="0"/>
              <w:jc w:val="both"/>
              <w:rPr>
                <w:rFonts w:asciiTheme="minorHAnsi" w:eastAsia="Times New Roman" w:hAnsiTheme="minorHAnsi" w:cstheme="minorHAnsi"/>
              </w:rPr>
            </w:pPr>
            <w:r w:rsidRPr="004C2B48">
              <w:rPr>
                <w:rFonts w:asciiTheme="minorHAnsi" w:eastAsia="Times New Roman" w:hAnsiTheme="minorHAnsi" w:cstheme="minorHAnsi"/>
              </w:rPr>
              <w:t>Прилаганите вътрешни правила създават  условия за изпълнението на дейностите на</w:t>
            </w:r>
            <w:r w:rsidR="00B31AE5">
              <w:rPr>
                <w:rFonts w:asciiTheme="minorHAnsi" w:eastAsia="Times New Roman" w:hAnsiTheme="minorHAnsi" w:cstheme="minorHAnsi"/>
              </w:rPr>
              <w:t xml:space="preserve"> </w:t>
            </w:r>
            <w:r w:rsidRPr="004C2B48">
              <w:rPr>
                <w:rFonts w:asciiTheme="minorHAnsi" w:eastAsia="Times New Roman" w:hAnsiTheme="minorHAnsi" w:cstheme="minorHAnsi"/>
              </w:rPr>
              <w:t>министерството,</w:t>
            </w:r>
            <w:r>
              <w:rPr>
                <w:rFonts w:asciiTheme="minorHAnsi" w:eastAsia="Times New Roman" w:hAnsiTheme="minorHAnsi" w:cstheme="minorHAnsi"/>
                <w:lang w:val="en-GB"/>
              </w:rPr>
              <w:t xml:space="preserve"> </w:t>
            </w:r>
            <w:r w:rsidRPr="004C2B48">
              <w:rPr>
                <w:rFonts w:asciiTheme="minorHAnsi" w:eastAsia="Times New Roman" w:hAnsiTheme="minorHAnsi" w:cstheme="minorHAnsi"/>
              </w:rPr>
              <w:t>осигуряват  бюджетния  процес  и осъществяването  на  контрол</w:t>
            </w:r>
            <w:r>
              <w:rPr>
                <w:rFonts w:asciiTheme="minorHAnsi" w:eastAsia="Times New Roman" w:hAnsiTheme="minorHAnsi" w:cstheme="minorHAnsi"/>
                <w:lang w:val="en-GB"/>
              </w:rPr>
              <w:t xml:space="preserve"> </w:t>
            </w:r>
            <w:r w:rsidRPr="004C2B48">
              <w:rPr>
                <w:rFonts w:asciiTheme="minorHAnsi" w:eastAsia="Times New Roman" w:hAnsiTheme="minorHAnsi" w:cstheme="minorHAnsi"/>
              </w:rPr>
              <w:t xml:space="preserve">за законосъобразното разходване на бюджетните средства. </w:t>
            </w:r>
          </w:p>
          <w:p w14:paraId="3182E686" w14:textId="77777777" w:rsidR="004C2B48" w:rsidRDefault="004C2B48" w:rsidP="00CD13DC">
            <w:pPr>
              <w:pStyle w:val="ListParagraph"/>
              <w:numPr>
                <w:ilvl w:val="0"/>
                <w:numId w:val="22"/>
              </w:numPr>
              <w:spacing w:before="120"/>
              <w:contextualSpacing w:val="0"/>
              <w:jc w:val="both"/>
              <w:rPr>
                <w:rFonts w:asciiTheme="minorHAnsi" w:eastAsia="Times New Roman" w:hAnsiTheme="minorHAnsi" w:cstheme="minorHAnsi"/>
              </w:rPr>
            </w:pPr>
            <w:r w:rsidRPr="004C2B48">
              <w:rPr>
                <w:rFonts w:asciiTheme="minorHAnsi" w:eastAsia="Times New Roman" w:hAnsiTheme="minorHAnsi" w:cstheme="minorHAnsi"/>
              </w:rPr>
              <w:t xml:space="preserve">Приетите вътрешни правила за управление на цикъла на обществените поръчки, са в съответствие  с  нормативната  уредба.  Регламентирани  са  механизми,  осигуряващи прилагането  на  контрол  и  мониторинг  при  възлагането  на  обществени  поръчки  и изпълнението на сключените договори. </w:t>
            </w:r>
          </w:p>
          <w:p w14:paraId="22811AE8" w14:textId="47EEDC36" w:rsidR="004C2B48" w:rsidRPr="00ED5A31" w:rsidRDefault="004C2B48" w:rsidP="00CD13DC">
            <w:pPr>
              <w:pStyle w:val="ListParagraph"/>
              <w:numPr>
                <w:ilvl w:val="0"/>
                <w:numId w:val="22"/>
              </w:numPr>
              <w:spacing w:before="120"/>
              <w:contextualSpacing w:val="0"/>
              <w:jc w:val="both"/>
              <w:rPr>
                <w:rFonts w:asciiTheme="minorHAnsi" w:eastAsia="Times New Roman" w:hAnsiTheme="minorHAnsi" w:cstheme="minorHAnsi"/>
              </w:rPr>
            </w:pPr>
            <w:r w:rsidRPr="004C2B48">
              <w:rPr>
                <w:rFonts w:asciiTheme="minorHAnsi" w:eastAsia="Times New Roman" w:hAnsiTheme="minorHAnsi" w:cstheme="minorHAnsi"/>
              </w:rPr>
              <w:t>Дейностите по отдаване под наем на недвижими имоти са в частично несъответствие с нормативната  уредба  и  вътрешните  правила, тъй  като  не  е  определен  срокът  на сключен договор за наем на ведомствено жилище.</w:t>
            </w:r>
          </w:p>
        </w:tc>
      </w:tr>
    </w:tbl>
    <w:p w14:paraId="54BE47DB" w14:textId="77777777" w:rsidR="00601A8E" w:rsidRPr="00950C07" w:rsidRDefault="00601A8E" w:rsidP="00CD13DC">
      <w:pPr>
        <w:spacing w:before="120" w:after="0" w:line="240" w:lineRule="auto"/>
        <w:rPr>
          <w:rFonts w:cstheme="minorHAnsi"/>
        </w:rPr>
      </w:pPr>
    </w:p>
    <w:tbl>
      <w:tblPr>
        <w:tblStyle w:val="TableGrid"/>
        <w:tblW w:w="9322"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3794"/>
        <w:gridCol w:w="2551"/>
        <w:gridCol w:w="1560"/>
        <w:gridCol w:w="1417"/>
      </w:tblGrid>
      <w:tr w:rsidR="00601A8E" w:rsidRPr="00950C07" w14:paraId="467D7169" w14:textId="77777777" w:rsidTr="007A7EAB">
        <w:trPr>
          <w:trHeight w:val="742"/>
        </w:trPr>
        <w:tc>
          <w:tcPr>
            <w:tcW w:w="7905" w:type="dxa"/>
            <w:gridSpan w:val="3"/>
            <w:vAlign w:val="center"/>
          </w:tcPr>
          <w:p w14:paraId="22D7731A" w14:textId="421EE1B1" w:rsidR="00601A8E" w:rsidRPr="00950C07" w:rsidRDefault="00FB366B" w:rsidP="00CD13DC">
            <w:pPr>
              <w:spacing w:before="120"/>
              <w:jc w:val="center"/>
              <w:rPr>
                <w:rFonts w:asciiTheme="minorHAnsi" w:hAnsiTheme="minorHAnsi" w:cstheme="minorHAnsi"/>
                <w:b/>
              </w:rPr>
            </w:pPr>
            <w:r>
              <w:rPr>
                <w:rFonts w:asciiTheme="minorHAnsi" w:hAnsiTheme="minorHAnsi" w:cstheme="minorHAnsi"/>
                <w:b/>
              </w:rPr>
              <w:t>Управление на публичните средства и дейности на Патентното ведомство</w:t>
            </w:r>
          </w:p>
          <w:p w14:paraId="3E677E6B" w14:textId="77777777" w:rsidR="00601A8E" w:rsidRPr="00950C07" w:rsidRDefault="00612267" w:rsidP="00CD13DC">
            <w:pPr>
              <w:spacing w:before="120"/>
              <w:jc w:val="center"/>
              <w:rPr>
                <w:rFonts w:asciiTheme="minorHAnsi" w:hAnsiTheme="minorHAnsi" w:cstheme="minorHAnsi"/>
                <w:b/>
                <w:i/>
              </w:rPr>
            </w:pPr>
            <w:r w:rsidRPr="00950C07">
              <w:rPr>
                <w:rFonts w:asciiTheme="minorHAnsi" w:hAnsiTheme="minorHAnsi" w:cstheme="minorHAnsi"/>
                <w:b/>
                <w:i/>
              </w:rPr>
              <w:t>Одит за съответствие</w:t>
            </w:r>
          </w:p>
          <w:p w14:paraId="23699DC6" w14:textId="2953A913" w:rsidR="00601A8E" w:rsidRPr="00950C07" w:rsidRDefault="00FB366B" w:rsidP="00CD13DC">
            <w:pPr>
              <w:spacing w:before="120"/>
              <w:jc w:val="both"/>
              <w:rPr>
                <w:rFonts w:asciiTheme="minorHAnsi" w:hAnsiTheme="minorHAnsi" w:cstheme="minorHAnsi"/>
              </w:rPr>
            </w:pPr>
            <w:r w:rsidRPr="00FB366B">
              <w:rPr>
                <w:rFonts w:asciiTheme="minorHAnsi" w:hAnsiTheme="minorHAnsi" w:cstheme="minorHAnsi"/>
              </w:rPr>
              <w:t xml:space="preserve">Патентното ведомство </w:t>
            </w:r>
            <w:r>
              <w:rPr>
                <w:rFonts w:asciiTheme="minorHAnsi" w:hAnsiTheme="minorHAnsi" w:cstheme="minorHAnsi"/>
              </w:rPr>
              <w:t xml:space="preserve">(ПВ) </w:t>
            </w:r>
            <w:r w:rsidRPr="00FB366B">
              <w:rPr>
                <w:rFonts w:asciiTheme="minorHAnsi" w:hAnsiTheme="minorHAnsi" w:cstheme="minorHAnsi"/>
              </w:rPr>
              <w:t>е национален държавен орга</w:t>
            </w:r>
            <w:r>
              <w:rPr>
                <w:rFonts w:asciiTheme="minorHAnsi" w:hAnsiTheme="minorHAnsi" w:cstheme="minorHAnsi"/>
              </w:rPr>
              <w:t xml:space="preserve">н за правна закрила на обектите </w:t>
            </w:r>
            <w:r w:rsidRPr="00FB366B">
              <w:rPr>
                <w:rFonts w:asciiTheme="minorHAnsi" w:hAnsiTheme="minorHAnsi" w:cstheme="minorHAnsi"/>
              </w:rPr>
              <w:t>на индустриална собственост и осъществява дейност, свър</w:t>
            </w:r>
            <w:r>
              <w:rPr>
                <w:rFonts w:asciiTheme="minorHAnsi" w:hAnsiTheme="minorHAnsi" w:cstheme="minorHAnsi"/>
              </w:rPr>
              <w:t xml:space="preserve">зана със създаването, закрилата </w:t>
            </w:r>
            <w:r w:rsidRPr="00FB366B">
              <w:rPr>
                <w:rFonts w:asciiTheme="minorHAnsi" w:hAnsiTheme="minorHAnsi" w:cstheme="minorHAnsi"/>
              </w:rPr>
              <w:t xml:space="preserve">и използването на патентоспособните изобретения и </w:t>
            </w:r>
            <w:r>
              <w:rPr>
                <w:rFonts w:asciiTheme="minorHAnsi" w:hAnsiTheme="minorHAnsi" w:cstheme="minorHAnsi"/>
              </w:rPr>
              <w:t xml:space="preserve">полезните модели, извършване на </w:t>
            </w:r>
            <w:r w:rsidRPr="00FB366B">
              <w:rPr>
                <w:rFonts w:asciiTheme="minorHAnsi" w:hAnsiTheme="minorHAnsi" w:cstheme="minorHAnsi"/>
              </w:rPr>
              <w:t>експертизи и приемане на решения по закрил</w:t>
            </w:r>
            <w:r>
              <w:rPr>
                <w:rFonts w:asciiTheme="minorHAnsi" w:hAnsiTheme="minorHAnsi" w:cstheme="minorHAnsi"/>
              </w:rPr>
              <w:t xml:space="preserve">ата на обектите на индустриална </w:t>
            </w:r>
            <w:r w:rsidRPr="00FB366B">
              <w:rPr>
                <w:rFonts w:asciiTheme="minorHAnsi" w:hAnsiTheme="minorHAnsi" w:cstheme="minorHAnsi"/>
              </w:rPr>
              <w:t>собственост, издаване на патенти за изобретения и</w:t>
            </w:r>
            <w:r>
              <w:rPr>
                <w:rFonts w:asciiTheme="minorHAnsi" w:hAnsiTheme="minorHAnsi" w:cstheme="minorHAnsi"/>
              </w:rPr>
              <w:t xml:space="preserve"> свидетелства за регистрация на </w:t>
            </w:r>
            <w:r w:rsidRPr="00FB366B">
              <w:rPr>
                <w:rFonts w:asciiTheme="minorHAnsi" w:hAnsiTheme="minorHAnsi" w:cstheme="minorHAnsi"/>
              </w:rPr>
              <w:t>полезни модели, свидетелства за промишлени дизайни, тъ</w:t>
            </w:r>
            <w:r>
              <w:rPr>
                <w:rFonts w:asciiTheme="minorHAnsi" w:hAnsiTheme="minorHAnsi" w:cstheme="minorHAnsi"/>
              </w:rPr>
              <w:t xml:space="preserve">рговски марки, марки за услуги, </w:t>
            </w:r>
            <w:r w:rsidRPr="00FB366B">
              <w:rPr>
                <w:rFonts w:asciiTheme="minorHAnsi" w:hAnsiTheme="minorHAnsi" w:cstheme="minorHAnsi"/>
              </w:rPr>
              <w:t>географски означения и др. защитни документи за закр</w:t>
            </w:r>
            <w:r>
              <w:rPr>
                <w:rFonts w:asciiTheme="minorHAnsi" w:hAnsiTheme="minorHAnsi" w:cstheme="minorHAnsi"/>
              </w:rPr>
              <w:t xml:space="preserve">ила на обекти на индустриалната </w:t>
            </w:r>
            <w:r w:rsidRPr="00FB366B">
              <w:rPr>
                <w:rFonts w:asciiTheme="minorHAnsi" w:hAnsiTheme="minorHAnsi" w:cstheme="minorHAnsi"/>
              </w:rPr>
              <w:t>собственост, съгласно изискванията на Закона за патен</w:t>
            </w:r>
            <w:r>
              <w:rPr>
                <w:rFonts w:asciiTheme="minorHAnsi" w:hAnsiTheme="minorHAnsi" w:cstheme="minorHAnsi"/>
              </w:rPr>
              <w:t xml:space="preserve">тите и регистрация на полезните </w:t>
            </w:r>
            <w:r w:rsidRPr="00FB366B">
              <w:rPr>
                <w:rFonts w:asciiTheme="minorHAnsi" w:hAnsiTheme="minorHAnsi" w:cstheme="minorHAnsi"/>
              </w:rPr>
              <w:t>модели, Закона за марките и географските означения,</w:t>
            </w:r>
            <w:r>
              <w:rPr>
                <w:rFonts w:asciiTheme="minorHAnsi" w:hAnsiTheme="minorHAnsi" w:cstheme="minorHAnsi"/>
              </w:rPr>
              <w:t xml:space="preserve"> Закона за промишления дизайн и други нормативни актове.</w:t>
            </w:r>
          </w:p>
          <w:p w14:paraId="25D672AC"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Ведомство:</w:t>
            </w:r>
          </w:p>
          <w:p w14:paraId="2EF9FDBD" w14:textId="502F3425" w:rsidR="00601A8E" w:rsidRPr="00950C07" w:rsidRDefault="00FB366B" w:rsidP="00CD13DC">
            <w:pPr>
              <w:spacing w:before="120"/>
              <w:rPr>
                <w:rFonts w:asciiTheme="minorHAnsi" w:hAnsiTheme="minorHAnsi" w:cstheme="minorHAnsi"/>
              </w:rPr>
            </w:pPr>
            <w:r>
              <w:rPr>
                <w:rFonts w:asciiTheme="minorHAnsi" w:hAnsiTheme="minorHAnsi" w:cstheme="minorHAnsi"/>
              </w:rPr>
              <w:t>Патентно ведомство на Република България</w:t>
            </w:r>
          </w:p>
        </w:tc>
        <w:tc>
          <w:tcPr>
            <w:tcW w:w="1417" w:type="dxa"/>
            <w:vAlign w:val="center"/>
          </w:tcPr>
          <w:p w14:paraId="4787F98D" w14:textId="77777777" w:rsidR="00601A8E" w:rsidRPr="00950C07" w:rsidRDefault="00601A8E" w:rsidP="00CD13DC">
            <w:pPr>
              <w:spacing w:before="120"/>
              <w:jc w:val="center"/>
              <w:rPr>
                <w:rFonts w:asciiTheme="minorHAnsi" w:hAnsiTheme="minorHAnsi" w:cstheme="minorHAnsi"/>
                <w:color w:val="76923C" w:themeColor="accent3" w:themeShade="BF"/>
              </w:rPr>
            </w:pPr>
            <w:r w:rsidRPr="00950C07">
              <w:rPr>
                <w:rFonts w:asciiTheme="minorHAnsi" w:hAnsiTheme="minorHAnsi" w:cstheme="minorHAnsi"/>
                <w:b/>
                <w:color w:val="76923C" w:themeColor="accent3" w:themeShade="BF"/>
              </w:rPr>
              <w:t>УСПЕХ</w:t>
            </w:r>
          </w:p>
        </w:tc>
      </w:tr>
      <w:tr w:rsidR="00601A8E" w:rsidRPr="00950C07" w14:paraId="7572505E" w14:textId="77777777" w:rsidTr="007A7EAB">
        <w:trPr>
          <w:trHeight w:val="742"/>
        </w:trPr>
        <w:tc>
          <w:tcPr>
            <w:tcW w:w="3794" w:type="dxa"/>
          </w:tcPr>
          <w:p w14:paraId="5574A528"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76F0CB77" w14:textId="611563A2" w:rsidR="00601A8E" w:rsidRPr="00950C07" w:rsidRDefault="00601A8E" w:rsidP="00CD13DC">
            <w:pPr>
              <w:spacing w:before="120"/>
              <w:rPr>
                <w:rFonts w:asciiTheme="minorHAnsi" w:hAnsiTheme="minorHAnsi" w:cstheme="minorHAnsi"/>
                <w:b/>
                <w:color w:val="9BBB59" w:themeColor="accent3"/>
              </w:rPr>
            </w:pPr>
            <w:r w:rsidRPr="00950C07">
              <w:rPr>
                <w:rFonts w:asciiTheme="minorHAnsi" w:hAnsiTheme="minorHAnsi" w:cstheme="minorHAnsi"/>
              </w:rPr>
              <w:t>01.01.</w:t>
            </w:r>
            <w:r w:rsidR="00FB366B">
              <w:rPr>
                <w:rFonts w:asciiTheme="minorHAnsi" w:hAnsiTheme="minorHAnsi" w:cstheme="minorHAnsi"/>
              </w:rPr>
              <w:t>2019 г. - 30.06.2020</w:t>
            </w:r>
            <w:r w:rsidRPr="00950C07">
              <w:rPr>
                <w:rFonts w:asciiTheme="minorHAnsi" w:hAnsiTheme="minorHAnsi" w:cstheme="minorHAnsi"/>
              </w:rPr>
              <w:t xml:space="preserve"> г.</w:t>
            </w:r>
          </w:p>
        </w:tc>
        <w:tc>
          <w:tcPr>
            <w:tcW w:w="2551" w:type="dxa"/>
          </w:tcPr>
          <w:p w14:paraId="0EBA8F91"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2622608E" w14:textId="4F037004" w:rsidR="00601A8E" w:rsidRPr="00950C07" w:rsidRDefault="00FB366B" w:rsidP="00CD13DC">
            <w:pPr>
              <w:spacing w:before="120"/>
              <w:rPr>
                <w:rFonts w:asciiTheme="minorHAnsi" w:hAnsiTheme="minorHAnsi" w:cstheme="minorHAnsi"/>
                <w:b/>
              </w:rPr>
            </w:pPr>
            <w:r>
              <w:rPr>
                <w:rFonts w:asciiTheme="minorHAnsi" w:hAnsiTheme="minorHAnsi" w:cstheme="minorHAnsi"/>
              </w:rPr>
              <w:t>8 315 521</w:t>
            </w:r>
            <w:r w:rsidR="00612267" w:rsidRPr="00950C07">
              <w:rPr>
                <w:rFonts w:asciiTheme="minorHAnsi" w:hAnsiTheme="minorHAnsi" w:cstheme="minorHAnsi"/>
              </w:rPr>
              <w:t xml:space="preserve"> </w:t>
            </w:r>
            <w:r w:rsidR="00601A8E" w:rsidRPr="00950C07">
              <w:rPr>
                <w:rFonts w:asciiTheme="minorHAnsi" w:hAnsiTheme="minorHAnsi" w:cstheme="minorHAnsi"/>
              </w:rPr>
              <w:t>лв.</w:t>
            </w:r>
          </w:p>
        </w:tc>
        <w:tc>
          <w:tcPr>
            <w:tcW w:w="2977" w:type="dxa"/>
            <w:gridSpan w:val="2"/>
          </w:tcPr>
          <w:p w14:paraId="0FDEE7E1" w14:textId="1471A2B6" w:rsidR="00601A8E" w:rsidRPr="00950C07" w:rsidRDefault="005B287A" w:rsidP="00CD13DC">
            <w:pPr>
              <w:spacing w:before="120"/>
              <w:rPr>
                <w:rFonts w:asciiTheme="minorHAnsi" w:hAnsiTheme="minorHAnsi" w:cstheme="minorHAnsi"/>
                <w:b/>
                <w:color w:val="9BBB59" w:themeColor="accent3"/>
                <w:u w:val="single"/>
              </w:rPr>
            </w:pPr>
            <w:hyperlink r:id="rId43" w:history="1">
              <w:r w:rsidR="00601A8E" w:rsidRPr="00950C07">
                <w:rPr>
                  <w:rStyle w:val="Hyperlink"/>
                  <w:rFonts w:asciiTheme="minorHAnsi" w:hAnsiTheme="minorHAnsi" w:cstheme="minorHAnsi"/>
                  <w:b/>
                  <w:color w:val="9BBB59" w:themeColor="accent3"/>
                </w:rPr>
                <w:t>Доклад на Сметната палата</w:t>
              </w:r>
            </w:hyperlink>
          </w:p>
        </w:tc>
      </w:tr>
      <w:tr w:rsidR="00601A8E" w:rsidRPr="00950C07" w14:paraId="42D59596" w14:textId="77777777" w:rsidTr="007A7EAB">
        <w:tc>
          <w:tcPr>
            <w:tcW w:w="9322" w:type="dxa"/>
            <w:gridSpan w:val="4"/>
            <w:shd w:val="clear" w:color="auto" w:fill="D6E3BC" w:themeFill="accent3" w:themeFillTint="66"/>
          </w:tcPr>
          <w:p w14:paraId="3D8217BD" w14:textId="77777777" w:rsidR="00601A8E" w:rsidRPr="00950C07" w:rsidRDefault="00601A8E" w:rsidP="00CD13DC">
            <w:pPr>
              <w:spacing w:before="120"/>
              <w:rPr>
                <w:rFonts w:asciiTheme="minorHAnsi" w:hAnsiTheme="minorHAnsi" w:cstheme="minorHAnsi"/>
                <w:b/>
              </w:rPr>
            </w:pPr>
            <w:r w:rsidRPr="00950C07">
              <w:rPr>
                <w:rFonts w:asciiTheme="minorHAnsi" w:hAnsiTheme="minorHAnsi" w:cstheme="minorHAnsi"/>
                <w:b/>
              </w:rPr>
              <w:t>Причини:</w:t>
            </w:r>
          </w:p>
        </w:tc>
      </w:tr>
      <w:tr w:rsidR="00601A8E" w:rsidRPr="00950C07" w14:paraId="19C7C874" w14:textId="77777777" w:rsidTr="007A7EAB">
        <w:trPr>
          <w:trHeight w:val="841"/>
        </w:trPr>
        <w:tc>
          <w:tcPr>
            <w:tcW w:w="9322" w:type="dxa"/>
            <w:gridSpan w:val="4"/>
          </w:tcPr>
          <w:p w14:paraId="08BB33D2" w14:textId="21A875C2" w:rsidR="00612267"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Вътрешните правила и процедури създават условия, осигуряващи процесите, свързани с планирането, управлението и контрола на бюджетните средства.</w:t>
            </w:r>
          </w:p>
          <w:p w14:paraId="3C72B8DB" w14:textId="3A6BFC2B" w:rsidR="00FB366B"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Проверените разходи за издръжка (разходи за материали, разходи за външни услуги, текущ ремонт) и капиталовите разходи са документално обосновани и са извършени в съответствие с действащите нормативни актове, клаузите на договорите и вътрешните правила.</w:t>
            </w:r>
          </w:p>
          <w:p w14:paraId="661D6F04" w14:textId="3E3AD424" w:rsidR="00FB366B"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Приетите вътрешни правила за управление на цикъла на обществените поръчки са в съответствие с нормативната уредба. В тях са регламентирани механизми, осигуряващи прилагането на контрол и мониторинг при възлагането на обществени поръчки.</w:t>
            </w:r>
          </w:p>
          <w:p w14:paraId="2ACA40D0" w14:textId="22889174" w:rsidR="00FB366B"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Въведената процедура за планиране на потребностите от доставки, услуги и строителство за съответния период на планиране, е в съответствие с вътрешните правила и нормативните изисквания.</w:t>
            </w:r>
          </w:p>
          <w:p w14:paraId="1DD2A3A1" w14:textId="44CD9A23" w:rsidR="00FB366B"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От ПВ са прилагани ефективни контролни механизми за разпределяне на отговорностите между длъжностните лица, участващи в цикъла на обществените поръчки, с което са осигурени условия за законосъобразното провеждане на процедурите и възлаганията.</w:t>
            </w:r>
          </w:p>
          <w:p w14:paraId="798260C8" w14:textId="7B9A307C" w:rsidR="00601A8E" w:rsidRPr="00FB366B" w:rsidRDefault="00FB366B" w:rsidP="00CD13DC">
            <w:pPr>
              <w:pStyle w:val="ListParagraph"/>
              <w:numPr>
                <w:ilvl w:val="0"/>
                <w:numId w:val="17"/>
              </w:numPr>
              <w:spacing w:before="120"/>
              <w:ind w:left="714" w:hanging="357"/>
              <w:contextualSpacing w:val="0"/>
              <w:jc w:val="both"/>
              <w:rPr>
                <w:rFonts w:asciiTheme="minorHAnsi" w:eastAsia="Times New Roman" w:hAnsiTheme="minorHAnsi" w:cstheme="minorHAnsi"/>
              </w:rPr>
            </w:pPr>
            <w:r w:rsidRPr="00FB366B">
              <w:rPr>
                <w:rFonts w:asciiTheme="minorHAnsi" w:eastAsia="Times New Roman" w:hAnsiTheme="minorHAnsi" w:cstheme="minorHAnsi"/>
              </w:rPr>
              <w:t>През одитирания период, прилаганите контролни дейности, определени с вътрешните правила за възлагане на обществени поръчки са ефективни и са създали условия за минимизиране на рисковете от нарушения на правната рамка.</w:t>
            </w:r>
          </w:p>
        </w:tc>
      </w:tr>
    </w:tbl>
    <w:p w14:paraId="15E6A078" w14:textId="77777777" w:rsidR="00B44ED6" w:rsidRDefault="00B44ED6" w:rsidP="00CD13DC">
      <w:pPr>
        <w:pStyle w:val="Heading2"/>
        <w:shd w:val="clear" w:color="auto" w:fill="FFFFFF" w:themeFill="background1"/>
        <w:spacing w:before="120" w:line="240" w:lineRule="auto"/>
        <w:rPr>
          <w:rFonts w:cstheme="minorHAnsi"/>
        </w:rPr>
      </w:pPr>
      <w:bookmarkStart w:id="35" w:name="_Toc356652895"/>
    </w:p>
    <w:p w14:paraId="05E25A5C" w14:textId="77777777" w:rsidR="00B44ED6" w:rsidRDefault="00B44ED6" w:rsidP="00CD13DC">
      <w:pPr>
        <w:spacing w:before="120" w:after="0" w:line="240" w:lineRule="auto"/>
        <w:rPr>
          <w:rFonts w:eastAsiaTheme="majorEastAsia" w:cstheme="minorHAnsi"/>
          <w:b/>
          <w:bCs/>
          <w:sz w:val="24"/>
          <w:szCs w:val="26"/>
        </w:rPr>
      </w:pPr>
      <w:r>
        <w:rPr>
          <w:rFonts w:cstheme="minorHAnsi"/>
        </w:rPr>
        <w:br w:type="page"/>
      </w:r>
    </w:p>
    <w:p w14:paraId="338BBB7E" w14:textId="70018899" w:rsidR="007F7703" w:rsidRPr="00950C07" w:rsidRDefault="007F7703" w:rsidP="00CD13DC">
      <w:pPr>
        <w:pStyle w:val="Heading2"/>
        <w:shd w:val="clear" w:color="auto" w:fill="C0504D" w:themeFill="accent2"/>
        <w:spacing w:before="120" w:line="240" w:lineRule="auto"/>
        <w:rPr>
          <w:rFonts w:cstheme="minorHAnsi"/>
        </w:rPr>
      </w:pPr>
      <w:bookmarkStart w:id="36" w:name="_Toc82521001"/>
      <w:r w:rsidRPr="00950C07">
        <w:rPr>
          <w:rFonts w:cstheme="minorHAnsi"/>
        </w:rPr>
        <w:t>Провалите</w:t>
      </w:r>
      <w:r w:rsidR="009B6739">
        <w:rPr>
          <w:rFonts w:cstheme="minorHAnsi"/>
        </w:rPr>
        <w:t xml:space="preserve"> </w:t>
      </w:r>
      <w:r w:rsidRPr="00950C07">
        <w:rPr>
          <w:rFonts w:cstheme="minorHAnsi"/>
        </w:rPr>
        <w:t>през годините</w:t>
      </w:r>
      <w:bookmarkEnd w:id="35"/>
      <w:bookmarkEnd w:id="36"/>
    </w:p>
    <w:p w14:paraId="12A4A080" w14:textId="17DA258D" w:rsidR="00810031" w:rsidRPr="00950C07" w:rsidRDefault="00220A0E" w:rsidP="00CD13DC">
      <w:pPr>
        <w:autoSpaceDE w:val="0"/>
        <w:autoSpaceDN w:val="0"/>
        <w:adjustRightInd w:val="0"/>
        <w:spacing w:before="120" w:after="0" w:line="240" w:lineRule="auto"/>
        <w:jc w:val="both"/>
        <w:rPr>
          <w:rFonts w:cstheme="minorHAnsi"/>
        </w:rPr>
      </w:pPr>
      <w:r w:rsidRPr="00950C07">
        <w:rPr>
          <w:rFonts w:cstheme="minorHAnsi"/>
        </w:rPr>
        <w:t xml:space="preserve">Изследването показа, че общо </w:t>
      </w:r>
      <w:r w:rsidR="001639D4">
        <w:rPr>
          <w:rFonts w:cstheme="minorHAnsi"/>
          <w:b/>
        </w:rPr>
        <w:t>438</w:t>
      </w:r>
      <w:r w:rsidR="00C50839">
        <w:rPr>
          <w:rFonts w:cstheme="minorHAnsi"/>
          <w:b/>
        </w:rPr>
        <w:t>,</w:t>
      </w:r>
      <w:r w:rsidRPr="00950C07">
        <w:rPr>
          <w:rFonts w:cstheme="minorHAnsi"/>
          <w:b/>
        </w:rPr>
        <w:t xml:space="preserve"> или </w:t>
      </w:r>
      <w:r w:rsidR="00F3156D" w:rsidRPr="00950C07">
        <w:rPr>
          <w:rFonts w:cstheme="minorHAnsi"/>
          <w:b/>
        </w:rPr>
        <w:t>4</w:t>
      </w:r>
      <w:r w:rsidR="001639D4">
        <w:rPr>
          <w:rFonts w:cstheme="minorHAnsi"/>
          <w:b/>
        </w:rPr>
        <w:t>2</w:t>
      </w:r>
      <w:r w:rsidRPr="00950C07">
        <w:rPr>
          <w:rFonts w:cstheme="minorHAnsi"/>
          <w:b/>
        </w:rPr>
        <w:t>%</w:t>
      </w:r>
      <w:r w:rsidR="00C50839">
        <w:rPr>
          <w:rFonts w:cstheme="minorHAnsi"/>
          <w:b/>
        </w:rPr>
        <w:t>,</w:t>
      </w:r>
      <w:r w:rsidRPr="00950C07">
        <w:rPr>
          <w:rFonts w:cstheme="minorHAnsi"/>
          <w:b/>
        </w:rPr>
        <w:t xml:space="preserve"> </w:t>
      </w:r>
      <w:r w:rsidRPr="00950C07">
        <w:rPr>
          <w:rFonts w:cstheme="minorHAnsi"/>
        </w:rPr>
        <w:t xml:space="preserve">от всички </w:t>
      </w:r>
      <w:r w:rsidR="001639D4">
        <w:rPr>
          <w:rFonts w:cstheme="minorHAnsi"/>
        </w:rPr>
        <w:t>1035</w:t>
      </w:r>
      <w:r w:rsidR="004419DC" w:rsidRPr="00950C07">
        <w:rPr>
          <w:rFonts w:cstheme="minorHAnsi"/>
        </w:rPr>
        <w:t xml:space="preserve"> </w:t>
      </w:r>
      <w:r w:rsidR="00C50839">
        <w:rPr>
          <w:rFonts w:cstheme="minorHAnsi"/>
        </w:rPr>
        <w:t xml:space="preserve">дейности и проекти, разгледани в одитните </w:t>
      </w:r>
      <w:r w:rsidRPr="00950C07">
        <w:rPr>
          <w:rFonts w:cstheme="minorHAnsi"/>
        </w:rPr>
        <w:t>доклад</w:t>
      </w:r>
      <w:r w:rsidR="00C50839">
        <w:rPr>
          <w:rFonts w:cstheme="minorHAnsi"/>
        </w:rPr>
        <w:t>и</w:t>
      </w:r>
      <w:r w:rsidR="00615E35">
        <w:rPr>
          <w:rFonts w:cstheme="minorHAnsi"/>
        </w:rPr>
        <w:t>,</w:t>
      </w:r>
      <w:r w:rsidRPr="00950C07">
        <w:rPr>
          <w:rFonts w:cstheme="minorHAnsi"/>
        </w:rPr>
        <w:t xml:space="preserve"> могат да се определят като „провал”. </w:t>
      </w:r>
    </w:p>
    <w:p w14:paraId="3C3003DA" w14:textId="4889770E" w:rsidR="005437D1" w:rsidRPr="008861B6" w:rsidRDefault="007F7703" w:rsidP="00CD13DC">
      <w:pPr>
        <w:autoSpaceDE w:val="0"/>
        <w:autoSpaceDN w:val="0"/>
        <w:adjustRightInd w:val="0"/>
        <w:spacing w:before="120" w:after="0" w:line="240" w:lineRule="auto"/>
        <w:jc w:val="both"/>
        <w:rPr>
          <w:rFonts w:cstheme="minorHAnsi"/>
        </w:rPr>
      </w:pPr>
      <w:r w:rsidRPr="00950C07">
        <w:rPr>
          <w:rFonts w:cstheme="minorHAnsi"/>
        </w:rPr>
        <w:t xml:space="preserve">Общата сума на случаите на провал е </w:t>
      </w:r>
      <w:r w:rsidR="001639D4">
        <w:rPr>
          <w:rFonts w:cstheme="minorHAnsi"/>
          <w:b/>
        </w:rPr>
        <w:t>83</w:t>
      </w:r>
      <w:r w:rsidRPr="00950C07">
        <w:rPr>
          <w:rFonts w:cstheme="minorHAnsi"/>
          <w:b/>
        </w:rPr>
        <w:t xml:space="preserve"> млрд. лв.</w:t>
      </w:r>
      <w:r w:rsidRPr="00950C07">
        <w:rPr>
          <w:rFonts w:cstheme="minorHAnsi"/>
        </w:rPr>
        <w:t xml:space="preserve"> или близо </w:t>
      </w:r>
      <w:r w:rsidR="001639D4">
        <w:rPr>
          <w:rFonts w:cstheme="minorHAnsi"/>
        </w:rPr>
        <w:t>53</w:t>
      </w:r>
      <w:r w:rsidRPr="00950C07">
        <w:rPr>
          <w:rFonts w:cstheme="minorHAnsi"/>
        </w:rPr>
        <w:t xml:space="preserve">% от </w:t>
      </w:r>
      <w:r w:rsidR="00443641" w:rsidRPr="00950C07">
        <w:rPr>
          <w:rFonts w:cstheme="minorHAnsi"/>
        </w:rPr>
        <w:t xml:space="preserve">стойността </w:t>
      </w:r>
      <w:r w:rsidRPr="00950C07">
        <w:rPr>
          <w:rFonts w:cstheme="minorHAnsi"/>
        </w:rPr>
        <w:t xml:space="preserve">на всички </w:t>
      </w:r>
      <w:r w:rsidR="0005382A">
        <w:rPr>
          <w:rFonts w:cstheme="minorHAnsi"/>
        </w:rPr>
        <w:t xml:space="preserve">дейности, </w:t>
      </w:r>
      <w:r w:rsidRPr="00950C07">
        <w:rPr>
          <w:rFonts w:cstheme="minorHAnsi"/>
        </w:rPr>
        <w:t xml:space="preserve">разгледани </w:t>
      </w:r>
      <w:r w:rsidR="0005382A">
        <w:rPr>
          <w:rFonts w:cstheme="minorHAnsi"/>
        </w:rPr>
        <w:t xml:space="preserve">в </w:t>
      </w:r>
      <w:r w:rsidRPr="00950C07">
        <w:rPr>
          <w:rFonts w:cstheme="minorHAnsi"/>
        </w:rPr>
        <w:t>доклади</w:t>
      </w:r>
      <w:r w:rsidR="0005382A">
        <w:rPr>
          <w:rFonts w:cstheme="minorHAnsi"/>
        </w:rPr>
        <w:t>те</w:t>
      </w:r>
      <w:r w:rsidRPr="00950C07">
        <w:rPr>
          <w:rFonts w:cstheme="minorHAnsi"/>
        </w:rPr>
        <w:t xml:space="preserve">. </w:t>
      </w:r>
      <w:r w:rsidR="00C03CB7" w:rsidRPr="00950C07">
        <w:rPr>
          <w:rFonts w:cstheme="minorHAnsi"/>
        </w:rPr>
        <w:t xml:space="preserve">Прави впечатление големият дял на разходите в докладите, определени като провал от </w:t>
      </w:r>
      <w:proofErr w:type="spellStart"/>
      <w:r w:rsidR="00C03CB7" w:rsidRPr="00950C07">
        <w:rPr>
          <w:rFonts w:cstheme="minorHAnsi"/>
        </w:rPr>
        <w:t>новоразгледаните</w:t>
      </w:r>
      <w:proofErr w:type="spellEnd"/>
      <w:r w:rsidR="00C03CB7" w:rsidRPr="00950C07">
        <w:rPr>
          <w:rFonts w:cstheme="minorHAnsi"/>
        </w:rPr>
        <w:t xml:space="preserve"> – </w:t>
      </w:r>
      <w:r w:rsidR="001639D4">
        <w:rPr>
          <w:rFonts w:cstheme="minorHAnsi"/>
        </w:rPr>
        <w:t>74</w:t>
      </w:r>
      <w:r w:rsidR="00C03CB7" w:rsidRPr="00950C07">
        <w:rPr>
          <w:rFonts w:cstheme="minorHAnsi"/>
        </w:rPr>
        <w:t xml:space="preserve">% от разходите влизат в тази категория. </w:t>
      </w:r>
    </w:p>
    <w:p w14:paraId="09148D4D" w14:textId="77777777" w:rsidR="00B31AE5" w:rsidRDefault="00B31AE5" w:rsidP="00CD13DC">
      <w:pPr>
        <w:autoSpaceDE w:val="0"/>
        <w:autoSpaceDN w:val="0"/>
        <w:adjustRightInd w:val="0"/>
        <w:spacing w:before="120" w:after="0" w:line="240" w:lineRule="auto"/>
        <w:rPr>
          <w:rFonts w:cstheme="minorHAnsi"/>
          <w:b/>
        </w:rPr>
      </w:pPr>
    </w:p>
    <w:p w14:paraId="69B0D8E7" w14:textId="23BA80D6" w:rsidR="004C0B5B" w:rsidRDefault="007F7703" w:rsidP="004C0B5B">
      <w:pPr>
        <w:shd w:val="clear" w:color="auto" w:fill="BFBFBF" w:themeFill="background1" w:themeFillShade="BF"/>
        <w:autoSpaceDE w:val="0"/>
        <w:autoSpaceDN w:val="0"/>
        <w:adjustRightInd w:val="0"/>
        <w:spacing w:after="0" w:line="240" w:lineRule="auto"/>
        <w:jc w:val="center"/>
        <w:rPr>
          <w:rFonts w:cstheme="minorHAnsi"/>
          <w:b/>
        </w:rPr>
      </w:pPr>
      <w:r w:rsidRPr="00950C07">
        <w:rPr>
          <w:rFonts w:cstheme="minorHAnsi"/>
          <w:b/>
        </w:rPr>
        <w:t xml:space="preserve">Разглеждани случаи на правителствен </w:t>
      </w:r>
      <w:r w:rsidRPr="008861B6">
        <w:rPr>
          <w:rFonts w:cstheme="minorHAnsi"/>
          <w:b/>
          <w:color w:val="C0504D" w:themeColor="accent2"/>
        </w:rPr>
        <w:t>ПРОВАЛ</w:t>
      </w:r>
      <w:r w:rsidRPr="00950C07">
        <w:rPr>
          <w:rFonts w:cstheme="minorHAnsi"/>
          <w:b/>
        </w:rPr>
        <w:t xml:space="preserve"> по години</w:t>
      </w:r>
      <w:r w:rsidR="00F3156D" w:rsidRPr="00950C07">
        <w:rPr>
          <w:rFonts w:cstheme="minorHAnsi"/>
          <w:b/>
        </w:rPr>
        <w:t>, брой</w:t>
      </w:r>
    </w:p>
    <w:p w14:paraId="0C1596FD" w14:textId="0012153C" w:rsidR="004C0B5B" w:rsidRPr="004C0B5B" w:rsidRDefault="004C0B5B" w:rsidP="004C0B5B">
      <w:pPr>
        <w:shd w:val="clear" w:color="auto" w:fill="BFBFBF" w:themeFill="background1" w:themeFillShade="BF"/>
        <w:autoSpaceDE w:val="0"/>
        <w:autoSpaceDN w:val="0"/>
        <w:adjustRightInd w:val="0"/>
        <w:spacing w:after="0" w:line="240" w:lineRule="auto"/>
        <w:jc w:val="center"/>
        <w:rPr>
          <w:rFonts w:cstheme="minorHAnsi"/>
          <w:b/>
          <w:sz w:val="20"/>
          <w:szCs w:val="20"/>
        </w:rPr>
      </w:pPr>
      <w:r w:rsidRPr="004C0B5B">
        <w:rPr>
          <w:rFonts w:cstheme="minorHAnsi"/>
          <w:bCs/>
          <w:sz w:val="20"/>
          <w:szCs w:val="20"/>
        </w:rPr>
        <w:t>(ИПИ по данни на Сметната палата)</w:t>
      </w:r>
    </w:p>
    <w:p w14:paraId="12CD16D8" w14:textId="3C7967DF" w:rsidR="00B31AE5" w:rsidRDefault="001639D4" w:rsidP="004C0B5B">
      <w:pPr>
        <w:autoSpaceDE w:val="0"/>
        <w:autoSpaceDN w:val="0"/>
        <w:adjustRightInd w:val="0"/>
        <w:spacing w:before="120" w:after="0" w:line="240" w:lineRule="auto"/>
        <w:rPr>
          <w:rFonts w:cstheme="minorHAnsi"/>
        </w:rPr>
      </w:pPr>
      <w:r w:rsidRPr="008861B6">
        <w:rPr>
          <w:noProof/>
          <w:shd w:val="clear" w:color="auto" w:fill="C0504D" w:themeFill="accent2"/>
          <w:lang w:val="en-US" w:eastAsia="en-US"/>
        </w:rPr>
        <w:drawing>
          <wp:inline distT="0" distB="0" distL="0" distR="0" wp14:anchorId="0B11996D" wp14:editId="371C244E">
            <wp:extent cx="5760720" cy="259207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4C0B5B">
        <w:rPr>
          <w:rFonts w:cstheme="minorHAnsi"/>
        </w:rPr>
        <w:t xml:space="preserve"> </w:t>
      </w:r>
    </w:p>
    <w:p w14:paraId="32E1EBFC" w14:textId="4E5AF746" w:rsidR="007F7703" w:rsidRPr="00950C07" w:rsidRDefault="00220A0E" w:rsidP="00CD13DC">
      <w:pPr>
        <w:autoSpaceDE w:val="0"/>
        <w:autoSpaceDN w:val="0"/>
        <w:adjustRightInd w:val="0"/>
        <w:spacing w:before="120" w:after="0" w:line="240" w:lineRule="auto"/>
        <w:jc w:val="both"/>
        <w:rPr>
          <w:rFonts w:cstheme="minorHAnsi"/>
        </w:rPr>
      </w:pPr>
      <w:r w:rsidRPr="00950C07">
        <w:rPr>
          <w:rFonts w:cstheme="minorHAnsi"/>
        </w:rPr>
        <w:t xml:space="preserve">Одитните доклади на Сметната палата дават ясна представа как администрацията се проваля при изпълнението на </w:t>
      </w:r>
      <w:r w:rsidR="00BB3563" w:rsidRPr="00950C07">
        <w:rPr>
          <w:rFonts w:cstheme="minorHAnsi"/>
        </w:rPr>
        <w:t>дейностите</w:t>
      </w:r>
      <w:r w:rsidRPr="00950C07">
        <w:rPr>
          <w:rFonts w:cstheme="minorHAnsi"/>
        </w:rPr>
        <w:t xml:space="preserve"> си. </w:t>
      </w:r>
      <w:r w:rsidR="00F3156D" w:rsidRPr="00950C07">
        <w:rPr>
          <w:rFonts w:cstheme="minorHAnsi"/>
        </w:rPr>
        <w:t>Често</w:t>
      </w:r>
      <w:r w:rsidR="00443641" w:rsidRPr="00950C07">
        <w:rPr>
          <w:rFonts w:cstheme="minorHAnsi"/>
        </w:rPr>
        <w:t xml:space="preserve"> </w:t>
      </w:r>
      <w:r w:rsidRPr="00950C07">
        <w:rPr>
          <w:rFonts w:cstheme="minorHAnsi"/>
        </w:rPr>
        <w:t>„провалът” на администрацията е вследствие на недостатъчен административен капацитет</w:t>
      </w:r>
      <w:r w:rsidR="00443641" w:rsidRPr="00950C07">
        <w:rPr>
          <w:rFonts w:cstheme="minorHAnsi"/>
        </w:rPr>
        <w:t xml:space="preserve"> (вкл. липса на експертиза и лошо управление)</w:t>
      </w:r>
      <w:r w:rsidRPr="00950C07">
        <w:rPr>
          <w:rFonts w:cstheme="minorHAnsi"/>
        </w:rPr>
        <w:t>, липса на средства</w:t>
      </w:r>
      <w:r w:rsidR="00443641" w:rsidRPr="00950C07">
        <w:rPr>
          <w:rFonts w:cstheme="minorHAnsi"/>
          <w:lang w:val="en-US"/>
        </w:rPr>
        <w:t xml:space="preserve"> </w:t>
      </w:r>
      <w:r w:rsidR="00443641" w:rsidRPr="00950C07">
        <w:rPr>
          <w:rFonts w:cstheme="minorHAnsi"/>
        </w:rPr>
        <w:t xml:space="preserve">и </w:t>
      </w:r>
      <w:r w:rsidRPr="00950C07">
        <w:rPr>
          <w:rFonts w:cstheme="minorHAnsi"/>
        </w:rPr>
        <w:t xml:space="preserve">външни фактори. </w:t>
      </w:r>
      <w:r w:rsidR="00810031" w:rsidRPr="00950C07">
        <w:rPr>
          <w:rFonts w:cstheme="minorHAnsi"/>
        </w:rPr>
        <w:t xml:space="preserve">Много </w:t>
      </w:r>
      <w:r w:rsidR="006D682A" w:rsidRPr="00950C07">
        <w:rPr>
          <w:rFonts w:cstheme="minorHAnsi"/>
        </w:rPr>
        <w:t xml:space="preserve">са </w:t>
      </w:r>
      <w:r w:rsidR="00810031" w:rsidRPr="00950C07">
        <w:rPr>
          <w:rFonts w:cstheme="minorHAnsi"/>
        </w:rPr>
        <w:t xml:space="preserve">и </w:t>
      </w:r>
      <w:r w:rsidR="006D682A" w:rsidRPr="00950C07">
        <w:rPr>
          <w:rFonts w:cstheme="minorHAnsi"/>
        </w:rPr>
        <w:t>случаите</w:t>
      </w:r>
      <w:r w:rsidR="00810031" w:rsidRPr="00950C07">
        <w:rPr>
          <w:rFonts w:cstheme="minorHAnsi"/>
        </w:rPr>
        <w:t xml:space="preserve"> обаче</w:t>
      </w:r>
      <w:r w:rsidR="006D682A" w:rsidRPr="00950C07">
        <w:rPr>
          <w:rFonts w:cstheme="minorHAnsi"/>
        </w:rPr>
        <w:t xml:space="preserve">, в които се забелязва нехайство към управлението на публичния ресурс </w:t>
      </w:r>
      <w:r w:rsidR="00443641" w:rsidRPr="00950C07">
        <w:rPr>
          <w:rFonts w:cstheme="minorHAnsi"/>
        </w:rPr>
        <w:t xml:space="preserve">или </w:t>
      </w:r>
      <w:r w:rsidR="006D682A" w:rsidRPr="00950C07">
        <w:rPr>
          <w:rFonts w:cstheme="minorHAnsi"/>
        </w:rPr>
        <w:t>умишлени злоупотреби</w:t>
      </w:r>
      <w:r w:rsidR="00F3156D" w:rsidRPr="00950C07">
        <w:rPr>
          <w:rFonts w:cstheme="minorHAnsi"/>
        </w:rPr>
        <w:t>, както и неяснота относно поставените цели</w:t>
      </w:r>
      <w:r w:rsidR="006D682A" w:rsidRPr="00950C07">
        <w:rPr>
          <w:rFonts w:cstheme="minorHAnsi"/>
        </w:rPr>
        <w:t>.</w:t>
      </w:r>
    </w:p>
    <w:p w14:paraId="2026ECCE" w14:textId="77777777" w:rsidR="00220A0E" w:rsidRPr="00950C07" w:rsidRDefault="006D682A" w:rsidP="00CD13DC">
      <w:pPr>
        <w:autoSpaceDE w:val="0"/>
        <w:autoSpaceDN w:val="0"/>
        <w:adjustRightInd w:val="0"/>
        <w:spacing w:before="120" w:after="0" w:line="240" w:lineRule="auto"/>
        <w:jc w:val="both"/>
        <w:rPr>
          <w:rFonts w:cstheme="minorHAnsi"/>
        </w:rPr>
      </w:pPr>
      <w:r w:rsidRPr="00950C07">
        <w:rPr>
          <w:rFonts w:cstheme="minorHAnsi"/>
        </w:rPr>
        <w:t xml:space="preserve">Основните слабости на администрацията не се променят значително през годините. </w:t>
      </w:r>
      <w:r w:rsidR="00A105F9" w:rsidRPr="00950C07">
        <w:rPr>
          <w:rFonts w:cstheme="minorHAnsi"/>
        </w:rPr>
        <w:t>В случаите, които класифицираме като провал</w:t>
      </w:r>
      <w:r w:rsidR="006D0D95" w:rsidRPr="00950C07">
        <w:rPr>
          <w:rFonts w:cstheme="minorHAnsi"/>
        </w:rPr>
        <w:t>,</w:t>
      </w:r>
      <w:r w:rsidR="00A105F9" w:rsidRPr="00950C07">
        <w:rPr>
          <w:rFonts w:cstheme="minorHAnsi"/>
        </w:rPr>
        <w:t xml:space="preserve"> администрацията работи мудно, скъпо и безрезултатно и о</w:t>
      </w:r>
      <w:r w:rsidRPr="00950C07">
        <w:rPr>
          <w:rFonts w:cstheme="minorHAnsi"/>
        </w:rPr>
        <w:t xml:space="preserve">тново ясно се вижда, че в най-голяма степен </w:t>
      </w:r>
      <w:r w:rsidR="00A105F9" w:rsidRPr="00950C07">
        <w:rPr>
          <w:rFonts w:cstheme="minorHAnsi"/>
        </w:rPr>
        <w:t>проблемите са в</w:t>
      </w:r>
      <w:r w:rsidRPr="00950C07">
        <w:rPr>
          <w:rFonts w:cstheme="minorHAnsi"/>
        </w:rPr>
        <w:t>:</w:t>
      </w:r>
    </w:p>
    <w:p w14:paraId="10574E8A" w14:textId="778C67B8" w:rsidR="006D682A" w:rsidRPr="00950C07" w:rsidRDefault="006D682A" w:rsidP="00CD13DC">
      <w:pPr>
        <w:pStyle w:val="ListParagraph"/>
        <w:numPr>
          <w:ilvl w:val="0"/>
          <w:numId w:val="9"/>
        </w:numPr>
        <w:autoSpaceDE w:val="0"/>
        <w:autoSpaceDN w:val="0"/>
        <w:adjustRightInd w:val="0"/>
        <w:spacing w:before="120" w:after="0" w:line="240" w:lineRule="auto"/>
        <w:contextualSpacing w:val="0"/>
        <w:jc w:val="both"/>
        <w:rPr>
          <w:rFonts w:cstheme="minorHAnsi"/>
        </w:rPr>
      </w:pPr>
      <w:r w:rsidRPr="00950C07">
        <w:rPr>
          <w:rFonts w:cstheme="minorHAnsi"/>
          <w:b/>
        </w:rPr>
        <w:t>Размиване на отговорностите</w:t>
      </w:r>
      <w:r w:rsidRPr="00950C07">
        <w:rPr>
          <w:rFonts w:cstheme="minorHAnsi"/>
        </w:rPr>
        <w:t xml:space="preserve"> при различни нива на изпълнение</w:t>
      </w:r>
      <w:r w:rsidR="00377546" w:rsidRPr="00950C07">
        <w:rPr>
          <w:rFonts w:cstheme="minorHAnsi"/>
        </w:rPr>
        <w:t>.</w:t>
      </w:r>
      <w:r w:rsidRPr="00950C07">
        <w:rPr>
          <w:rFonts w:cstheme="minorHAnsi"/>
        </w:rPr>
        <w:t xml:space="preserve"> </w:t>
      </w:r>
      <w:r w:rsidR="00377546" w:rsidRPr="00950C07">
        <w:rPr>
          <w:rFonts w:cstheme="minorHAnsi"/>
        </w:rPr>
        <w:t>Т</w:t>
      </w:r>
      <w:r w:rsidRPr="00950C07">
        <w:rPr>
          <w:rFonts w:cstheme="minorHAnsi"/>
        </w:rPr>
        <w:t xml:space="preserve">ези случаи позволяват </w:t>
      </w:r>
      <w:r w:rsidR="006D0D95" w:rsidRPr="00950C07">
        <w:rPr>
          <w:rFonts w:cstheme="minorHAnsi"/>
        </w:rPr>
        <w:t>без</w:t>
      </w:r>
      <w:r w:rsidRPr="00950C07">
        <w:rPr>
          <w:rFonts w:cstheme="minorHAnsi"/>
        </w:rPr>
        <w:t>отговорно управление и липса на конкрете</w:t>
      </w:r>
      <w:r w:rsidR="00377546" w:rsidRPr="00950C07">
        <w:rPr>
          <w:rFonts w:cstheme="minorHAnsi"/>
        </w:rPr>
        <w:t>н виновник при лошо представяне.</w:t>
      </w:r>
      <w:r w:rsidR="00E27FCB" w:rsidRPr="00E27FCB">
        <w:t xml:space="preserve"> </w:t>
      </w:r>
      <w:r w:rsidR="00E27FCB" w:rsidRPr="00E27FCB">
        <w:rPr>
          <w:rFonts w:cstheme="minorHAnsi"/>
        </w:rPr>
        <w:t xml:space="preserve">Прегледът на одитите показва, че периодите на политическа криза в страната имат значение за това доколко ефективно се харчи общественият ресурс. </w:t>
      </w:r>
      <w:r w:rsidR="00E27FCB">
        <w:rPr>
          <w:rFonts w:cstheme="minorHAnsi"/>
        </w:rPr>
        <w:t xml:space="preserve">По-големите и по-продължителни програми и проекти дори не могат да започнат и да приключат при един и същи управляващи в периоди, </w:t>
      </w:r>
      <w:r w:rsidR="00E27FCB" w:rsidRPr="00E27FCB">
        <w:rPr>
          <w:rFonts w:cstheme="minorHAnsi"/>
        </w:rPr>
        <w:t xml:space="preserve">когато правителствата и отговорните </w:t>
      </w:r>
      <w:r w:rsidR="00E27FCB">
        <w:rPr>
          <w:rFonts w:cstheme="minorHAnsi"/>
        </w:rPr>
        <w:t>лица</w:t>
      </w:r>
      <w:r w:rsidR="00E27FCB" w:rsidRPr="00E27FCB">
        <w:rPr>
          <w:rFonts w:cstheme="minorHAnsi"/>
        </w:rPr>
        <w:t xml:space="preserve"> се променят относит</w:t>
      </w:r>
      <w:r w:rsidR="00E27FCB">
        <w:rPr>
          <w:rFonts w:cstheme="minorHAnsi"/>
        </w:rPr>
        <w:t xml:space="preserve">елно често. </w:t>
      </w:r>
      <w:r w:rsidR="00E27FCB" w:rsidRPr="00E27FCB">
        <w:rPr>
          <w:rFonts w:cstheme="minorHAnsi"/>
        </w:rPr>
        <w:t>В голяма част от докладите на Сметната палата ясно се вижда как това води до размиване на отговорностите и безотчетност на резултатите, въпреки че парите обикновено се харчат по план.</w:t>
      </w:r>
    </w:p>
    <w:p w14:paraId="006CC45A" w14:textId="5C7726A1" w:rsidR="006D682A" w:rsidRPr="00950C07" w:rsidRDefault="006D682A" w:rsidP="00CD13DC">
      <w:pPr>
        <w:pStyle w:val="ListParagraph"/>
        <w:numPr>
          <w:ilvl w:val="0"/>
          <w:numId w:val="9"/>
        </w:numPr>
        <w:autoSpaceDE w:val="0"/>
        <w:autoSpaceDN w:val="0"/>
        <w:adjustRightInd w:val="0"/>
        <w:spacing w:before="120" w:after="0" w:line="240" w:lineRule="auto"/>
        <w:ind w:left="714" w:hanging="357"/>
        <w:contextualSpacing w:val="0"/>
        <w:jc w:val="both"/>
        <w:rPr>
          <w:rFonts w:cstheme="minorHAnsi"/>
        </w:rPr>
      </w:pPr>
      <w:r w:rsidRPr="00950C07">
        <w:rPr>
          <w:rFonts w:cstheme="minorHAnsi"/>
          <w:b/>
        </w:rPr>
        <w:t>Опорочени обществени поръчки</w:t>
      </w:r>
      <w:r w:rsidR="00377546" w:rsidRPr="00950C07">
        <w:rPr>
          <w:rFonts w:cstheme="minorHAnsi"/>
        </w:rPr>
        <w:t xml:space="preserve">. </w:t>
      </w:r>
      <w:r w:rsidR="00532ECB" w:rsidRPr="00950C07">
        <w:rPr>
          <w:rFonts w:cstheme="minorHAnsi"/>
        </w:rPr>
        <w:t xml:space="preserve">Продължават слабостите при планирането и изпълнението на обществените поръчки в България. </w:t>
      </w:r>
      <w:r w:rsidR="00F3156D" w:rsidRPr="00950C07">
        <w:rPr>
          <w:rFonts w:cstheme="minorHAnsi"/>
        </w:rPr>
        <w:t>Много ч</w:t>
      </w:r>
      <w:r w:rsidRPr="00950C07">
        <w:rPr>
          <w:rFonts w:cstheme="minorHAnsi"/>
        </w:rPr>
        <w:t>есто се забелязват случаи от цялата палитра на нарушенията при процедурите за обществени поръчки – съмнителни и ограничаващи изисквания, харчене без провеждане на процедура, липса на договори, липса на неустойки при недобре свършена работа, недостатъчен контрол при изпълнението и отчитането на обществената поръчка</w:t>
      </w:r>
      <w:r w:rsidR="00377546" w:rsidRPr="00950C07">
        <w:rPr>
          <w:rFonts w:cstheme="minorHAnsi"/>
        </w:rPr>
        <w:t>, липса на правила за възлагане и т.н.</w:t>
      </w:r>
      <w:r w:rsidRPr="00950C07">
        <w:rPr>
          <w:rFonts w:cstheme="minorHAnsi"/>
        </w:rPr>
        <w:t xml:space="preserve"> </w:t>
      </w:r>
      <w:r w:rsidR="005437D1">
        <w:rPr>
          <w:rFonts w:cstheme="minorHAnsi"/>
        </w:rPr>
        <w:t>Последните промени в законодателството, както и реалното активиране на</w:t>
      </w:r>
      <w:r w:rsidR="005437D1" w:rsidRPr="005437D1">
        <w:rPr>
          <w:rFonts w:cstheme="minorHAnsi"/>
        </w:rPr>
        <w:t> Централизираната автоматизирана информационна система „Електронни обществени поръчки“ (ЦАИС ЕОП)</w:t>
      </w:r>
      <w:r w:rsidR="005437D1">
        <w:rPr>
          <w:rFonts w:cstheme="minorHAnsi"/>
        </w:rPr>
        <w:t xml:space="preserve"> се очаква да адресират част от проблемите.</w:t>
      </w:r>
    </w:p>
    <w:p w14:paraId="67B5575B" w14:textId="79CB55AA" w:rsidR="006D682A" w:rsidRPr="00950C07" w:rsidRDefault="005765A9" w:rsidP="00CD13DC">
      <w:pPr>
        <w:pStyle w:val="ListParagraph"/>
        <w:numPr>
          <w:ilvl w:val="0"/>
          <w:numId w:val="9"/>
        </w:numPr>
        <w:autoSpaceDE w:val="0"/>
        <w:autoSpaceDN w:val="0"/>
        <w:adjustRightInd w:val="0"/>
        <w:spacing w:before="120" w:after="0" w:line="240" w:lineRule="auto"/>
        <w:ind w:left="714" w:hanging="357"/>
        <w:contextualSpacing w:val="0"/>
        <w:jc w:val="both"/>
        <w:rPr>
          <w:rFonts w:cstheme="minorHAnsi"/>
        </w:rPr>
      </w:pPr>
      <w:r w:rsidRPr="00950C07">
        <w:rPr>
          <w:rFonts w:cstheme="minorHAnsi"/>
          <w:b/>
        </w:rPr>
        <w:t xml:space="preserve">Лошо </w:t>
      </w:r>
      <w:r w:rsidR="006D682A" w:rsidRPr="00950C07">
        <w:rPr>
          <w:rFonts w:cstheme="minorHAnsi"/>
          <w:b/>
        </w:rPr>
        <w:t>управление на имуществото</w:t>
      </w:r>
      <w:r w:rsidR="00377546" w:rsidRPr="00950C07">
        <w:rPr>
          <w:rFonts w:cstheme="minorHAnsi"/>
        </w:rPr>
        <w:t>. О</w:t>
      </w:r>
      <w:r w:rsidR="006D682A" w:rsidRPr="00950C07">
        <w:rPr>
          <w:rFonts w:cstheme="minorHAnsi"/>
        </w:rPr>
        <w:t xml:space="preserve">сновните проблеми тук за свързани с масовата липса на застраховки, невъзможността на отговорната институция да се справи с ограбването на имуществото, пустеещите и рушащи се сгради, отдаване под наем на много по-ниски от пазарните цени и дори безплатното </w:t>
      </w:r>
      <w:r w:rsidR="005437D1">
        <w:rPr>
          <w:rFonts w:cstheme="minorHAnsi"/>
        </w:rPr>
        <w:t>използване</w:t>
      </w:r>
      <w:r w:rsidR="005437D1" w:rsidRPr="00950C07">
        <w:rPr>
          <w:rFonts w:cstheme="minorHAnsi"/>
        </w:rPr>
        <w:t xml:space="preserve"> </w:t>
      </w:r>
      <w:r w:rsidR="00377546" w:rsidRPr="00950C07">
        <w:rPr>
          <w:rFonts w:cstheme="minorHAnsi"/>
        </w:rPr>
        <w:t>на публични сгради и имоти</w:t>
      </w:r>
      <w:r w:rsidR="005437D1">
        <w:rPr>
          <w:rFonts w:cstheme="minorHAnsi"/>
        </w:rPr>
        <w:t xml:space="preserve"> от трети лица</w:t>
      </w:r>
      <w:r w:rsidR="00377546" w:rsidRPr="00950C07">
        <w:rPr>
          <w:rFonts w:cstheme="minorHAnsi"/>
        </w:rPr>
        <w:t>.</w:t>
      </w:r>
      <w:r w:rsidR="006D682A" w:rsidRPr="00950C07">
        <w:rPr>
          <w:rFonts w:cstheme="minorHAnsi"/>
        </w:rPr>
        <w:t xml:space="preserve"> </w:t>
      </w:r>
    </w:p>
    <w:p w14:paraId="32E533C6" w14:textId="6C216B70" w:rsidR="00377546" w:rsidRPr="00950C07" w:rsidRDefault="00377546" w:rsidP="00CD13DC">
      <w:pPr>
        <w:pStyle w:val="ListParagraph"/>
        <w:numPr>
          <w:ilvl w:val="0"/>
          <w:numId w:val="9"/>
        </w:numPr>
        <w:autoSpaceDE w:val="0"/>
        <w:autoSpaceDN w:val="0"/>
        <w:adjustRightInd w:val="0"/>
        <w:spacing w:before="120" w:after="0" w:line="240" w:lineRule="auto"/>
        <w:ind w:left="714" w:hanging="357"/>
        <w:contextualSpacing w:val="0"/>
        <w:jc w:val="both"/>
        <w:rPr>
          <w:rFonts w:cstheme="minorHAnsi"/>
        </w:rPr>
      </w:pPr>
      <w:r w:rsidRPr="00950C07">
        <w:rPr>
          <w:rFonts w:cstheme="minorHAnsi"/>
          <w:b/>
        </w:rPr>
        <w:t>Липса на ясни цели и индикатори</w:t>
      </w:r>
      <w:r w:rsidRPr="00950C07">
        <w:rPr>
          <w:rFonts w:cstheme="minorHAnsi"/>
        </w:rPr>
        <w:t xml:space="preserve">, показващи постигането им. В много случаи одиторите са затруднени при оценките на различни програми заради неясно поставени цели и </w:t>
      </w:r>
      <w:proofErr w:type="spellStart"/>
      <w:r w:rsidRPr="00950C07">
        <w:rPr>
          <w:rFonts w:cstheme="minorHAnsi"/>
        </w:rPr>
        <w:t>пожелателни</w:t>
      </w:r>
      <w:proofErr w:type="spellEnd"/>
      <w:r w:rsidRPr="00950C07">
        <w:rPr>
          <w:rFonts w:cstheme="minorHAnsi"/>
        </w:rPr>
        <w:t xml:space="preserve"> резултати без предварително определени индикатори за успех. </w:t>
      </w:r>
      <w:r w:rsidR="005437D1">
        <w:rPr>
          <w:rFonts w:cstheme="minorHAnsi"/>
        </w:rPr>
        <w:t>Това на практика гарантира провал от самото начало, тъй като не са достатъчно ясни целите, съответно администрацията често просто „съществува“, вместо да съдейства на бизнеса и гражданите.</w:t>
      </w:r>
    </w:p>
    <w:p w14:paraId="1DFFFF95" w14:textId="6EDA7B68" w:rsidR="006D682A" w:rsidRPr="00950C07" w:rsidRDefault="00377546" w:rsidP="00CD13DC">
      <w:pPr>
        <w:pStyle w:val="ListParagraph"/>
        <w:numPr>
          <w:ilvl w:val="0"/>
          <w:numId w:val="9"/>
        </w:numPr>
        <w:autoSpaceDE w:val="0"/>
        <w:autoSpaceDN w:val="0"/>
        <w:adjustRightInd w:val="0"/>
        <w:spacing w:before="120" w:after="0" w:line="240" w:lineRule="auto"/>
        <w:ind w:left="714" w:hanging="357"/>
        <w:contextualSpacing w:val="0"/>
        <w:jc w:val="both"/>
        <w:rPr>
          <w:rFonts w:cstheme="minorHAnsi"/>
        </w:rPr>
      </w:pPr>
      <w:r w:rsidRPr="00950C07">
        <w:rPr>
          <w:rFonts w:cstheme="minorHAnsi"/>
          <w:b/>
        </w:rPr>
        <w:t>Разхищение</w:t>
      </w:r>
      <w:r w:rsidRPr="00950C07">
        <w:rPr>
          <w:rFonts w:cstheme="minorHAnsi"/>
        </w:rPr>
        <w:t xml:space="preserve">. </w:t>
      </w:r>
      <w:r w:rsidR="00DF4A5A">
        <w:rPr>
          <w:rFonts w:cstheme="minorHAnsi"/>
        </w:rPr>
        <w:t>Неефикасното</w:t>
      </w:r>
      <w:r w:rsidR="00DF4A5A" w:rsidRPr="00950C07">
        <w:rPr>
          <w:rFonts w:cstheme="minorHAnsi"/>
        </w:rPr>
        <w:t xml:space="preserve"> </w:t>
      </w:r>
      <w:r w:rsidRPr="00950C07">
        <w:rPr>
          <w:rFonts w:cstheme="minorHAnsi"/>
        </w:rPr>
        <w:t xml:space="preserve">харчене директно показва </w:t>
      </w:r>
      <w:r w:rsidR="00DF4A5A">
        <w:rPr>
          <w:rFonts w:cstheme="minorHAnsi"/>
        </w:rPr>
        <w:t>порочните практики</w:t>
      </w:r>
      <w:r w:rsidR="00DF4A5A" w:rsidRPr="00950C07">
        <w:rPr>
          <w:rFonts w:cstheme="minorHAnsi"/>
        </w:rPr>
        <w:t xml:space="preserve"> </w:t>
      </w:r>
      <w:r w:rsidRPr="00950C07">
        <w:rPr>
          <w:rFonts w:cstheme="minorHAnsi"/>
        </w:rPr>
        <w:t>на администрацията при управлението на публичните средства, а понякога и е сигнал за злоупотреби и престъпления. В допълнение, това често е свързано и със с</w:t>
      </w:r>
      <w:r w:rsidR="006D682A" w:rsidRPr="00950C07">
        <w:rPr>
          <w:rFonts w:cstheme="minorHAnsi"/>
        </w:rPr>
        <w:t xml:space="preserve">лабости при счетоводната </w:t>
      </w:r>
      <w:r w:rsidR="00DE22EC" w:rsidRPr="00950C07">
        <w:rPr>
          <w:rFonts w:cstheme="minorHAnsi"/>
        </w:rPr>
        <w:t xml:space="preserve">практика </w:t>
      </w:r>
      <w:r w:rsidR="006D682A" w:rsidRPr="00950C07">
        <w:rPr>
          <w:rFonts w:cstheme="minorHAnsi"/>
        </w:rPr>
        <w:t>и осчетоводяването на ра</w:t>
      </w:r>
      <w:r w:rsidRPr="00950C07">
        <w:rPr>
          <w:rFonts w:cstheme="minorHAnsi"/>
        </w:rPr>
        <w:t>зходите.</w:t>
      </w:r>
    </w:p>
    <w:p w14:paraId="77580F91" w14:textId="77777777" w:rsidR="0044667C" w:rsidRDefault="0044667C" w:rsidP="00CD13DC">
      <w:pPr>
        <w:autoSpaceDE w:val="0"/>
        <w:autoSpaceDN w:val="0"/>
        <w:adjustRightInd w:val="0"/>
        <w:spacing w:before="120" w:after="0" w:line="240" w:lineRule="auto"/>
        <w:jc w:val="both"/>
        <w:rPr>
          <w:rFonts w:cstheme="minorHAnsi"/>
          <w:b/>
          <w:i/>
        </w:rPr>
      </w:pPr>
    </w:p>
    <w:p w14:paraId="00FCCA01" w14:textId="58029D44" w:rsidR="007F7703" w:rsidRPr="00950C07" w:rsidRDefault="007F7703" w:rsidP="00CD13DC">
      <w:pPr>
        <w:autoSpaceDE w:val="0"/>
        <w:autoSpaceDN w:val="0"/>
        <w:adjustRightInd w:val="0"/>
        <w:spacing w:before="120" w:after="0" w:line="240" w:lineRule="auto"/>
        <w:jc w:val="both"/>
        <w:rPr>
          <w:rFonts w:cstheme="minorHAnsi"/>
          <w:b/>
          <w:i/>
        </w:rPr>
      </w:pPr>
      <w:r w:rsidRPr="00950C07">
        <w:rPr>
          <w:rFonts w:cstheme="minorHAnsi"/>
          <w:b/>
          <w:i/>
        </w:rPr>
        <w:t>Примери за провал</w:t>
      </w:r>
      <w:r w:rsidRPr="00950C07">
        <w:rPr>
          <w:rStyle w:val="FootnoteReference"/>
          <w:rFonts w:cstheme="minorHAnsi"/>
          <w:b/>
          <w:i/>
        </w:rPr>
        <w:footnoteReference w:id="5"/>
      </w:r>
    </w:p>
    <w:p w14:paraId="7CDE37CA" w14:textId="77777777" w:rsidR="00377546" w:rsidRPr="00950C07" w:rsidRDefault="00377546" w:rsidP="00CD13DC">
      <w:pPr>
        <w:autoSpaceDE w:val="0"/>
        <w:autoSpaceDN w:val="0"/>
        <w:adjustRightInd w:val="0"/>
        <w:spacing w:before="120" w:after="0" w:line="240" w:lineRule="auto"/>
        <w:jc w:val="both"/>
        <w:rPr>
          <w:rFonts w:cstheme="minorHAnsi"/>
        </w:rPr>
      </w:pPr>
      <w:r w:rsidRPr="00950C07">
        <w:rPr>
          <w:rFonts w:cstheme="minorHAnsi"/>
        </w:rPr>
        <w:t>Примерите от одитните доклади на Сметната палата ясно показват някои от най-типичните слабости на администрацията.</w:t>
      </w:r>
    </w:p>
    <w:p w14:paraId="740F3FC2" w14:textId="77777777" w:rsidR="00377546" w:rsidRPr="00950C07" w:rsidRDefault="00377546" w:rsidP="00CD13DC">
      <w:pPr>
        <w:autoSpaceDE w:val="0"/>
        <w:autoSpaceDN w:val="0"/>
        <w:adjustRightInd w:val="0"/>
        <w:spacing w:before="120" w:after="0" w:line="240" w:lineRule="auto"/>
        <w:jc w:val="both"/>
        <w:rPr>
          <w:rFonts w:cstheme="minorHAnsi"/>
        </w:rPr>
      </w:pPr>
    </w:p>
    <w:tbl>
      <w:tblPr>
        <w:tblStyle w:val="TableGrid"/>
        <w:tblW w:w="932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none" w:sz="0" w:space="0" w:color="auto"/>
        </w:tblBorders>
        <w:tblLook w:val="04A0" w:firstRow="1" w:lastRow="0" w:firstColumn="1" w:lastColumn="0" w:noHBand="0" w:noVBand="1"/>
      </w:tblPr>
      <w:tblGrid>
        <w:gridCol w:w="3794"/>
        <w:gridCol w:w="2551"/>
        <w:gridCol w:w="851"/>
        <w:gridCol w:w="2126"/>
      </w:tblGrid>
      <w:tr w:rsidR="00E3679A" w:rsidRPr="00950C07" w14:paraId="02182981" w14:textId="77777777" w:rsidTr="007A7EAB">
        <w:trPr>
          <w:trHeight w:val="742"/>
        </w:trPr>
        <w:tc>
          <w:tcPr>
            <w:tcW w:w="7196" w:type="dxa"/>
            <w:gridSpan w:val="3"/>
            <w:vAlign w:val="center"/>
          </w:tcPr>
          <w:p w14:paraId="080DF921" w14:textId="7DC29573" w:rsidR="00E3679A" w:rsidRPr="00950C07" w:rsidRDefault="0011762F" w:rsidP="00CD13DC">
            <w:pPr>
              <w:spacing w:before="120"/>
              <w:jc w:val="center"/>
              <w:rPr>
                <w:rFonts w:asciiTheme="minorHAnsi" w:hAnsiTheme="minorHAnsi" w:cstheme="minorHAnsi"/>
                <w:b/>
              </w:rPr>
            </w:pPr>
            <w:r>
              <w:rPr>
                <w:rFonts w:asciiTheme="minorHAnsi" w:hAnsiTheme="minorHAnsi" w:cstheme="minorHAnsi"/>
                <w:b/>
              </w:rPr>
              <w:t>Финансово управление на Българското национално радио</w:t>
            </w:r>
          </w:p>
          <w:p w14:paraId="1B1B2003" w14:textId="4B873218" w:rsidR="00E3679A" w:rsidRPr="00950C07" w:rsidRDefault="006461F3" w:rsidP="00CD13DC">
            <w:pPr>
              <w:spacing w:before="120"/>
              <w:jc w:val="center"/>
              <w:rPr>
                <w:rFonts w:asciiTheme="minorHAnsi" w:hAnsiTheme="minorHAnsi" w:cstheme="minorHAnsi"/>
                <w:b/>
                <w:i/>
              </w:rPr>
            </w:pPr>
            <w:r w:rsidRPr="00950C07">
              <w:rPr>
                <w:rFonts w:asciiTheme="minorHAnsi" w:hAnsiTheme="minorHAnsi" w:cstheme="minorHAnsi"/>
                <w:b/>
                <w:i/>
              </w:rPr>
              <w:t>О</w:t>
            </w:r>
            <w:r w:rsidR="00E3679A" w:rsidRPr="00950C07">
              <w:rPr>
                <w:rFonts w:asciiTheme="minorHAnsi" w:hAnsiTheme="minorHAnsi" w:cstheme="minorHAnsi"/>
                <w:b/>
                <w:i/>
              </w:rPr>
              <w:t xml:space="preserve">дит </w:t>
            </w:r>
            <w:r w:rsidR="0011762F">
              <w:rPr>
                <w:rFonts w:asciiTheme="minorHAnsi" w:hAnsiTheme="minorHAnsi" w:cstheme="minorHAnsi"/>
                <w:b/>
                <w:i/>
              </w:rPr>
              <w:t>за съответствие</w:t>
            </w:r>
          </w:p>
          <w:p w14:paraId="05010158" w14:textId="6D3575D5" w:rsidR="0011762F" w:rsidRPr="0011762F" w:rsidRDefault="0011762F" w:rsidP="00CD13DC">
            <w:pPr>
              <w:spacing w:before="120"/>
              <w:jc w:val="both"/>
              <w:rPr>
                <w:rFonts w:asciiTheme="minorHAnsi" w:hAnsiTheme="minorHAnsi" w:cstheme="minorHAnsi"/>
              </w:rPr>
            </w:pPr>
            <w:r w:rsidRPr="0011762F">
              <w:rPr>
                <w:rFonts w:asciiTheme="minorHAnsi" w:hAnsiTheme="minorHAnsi" w:cstheme="minorHAnsi"/>
              </w:rPr>
              <w:t>Българското национално радио (БНР) е национал</w:t>
            </w:r>
            <w:r>
              <w:rPr>
                <w:rFonts w:asciiTheme="minorHAnsi" w:hAnsiTheme="minorHAnsi" w:cstheme="minorHAnsi"/>
              </w:rPr>
              <w:t xml:space="preserve">ен обществен доставчик на радио </w:t>
            </w:r>
            <w:r w:rsidRPr="0011762F">
              <w:rPr>
                <w:rFonts w:asciiTheme="minorHAnsi" w:hAnsiTheme="minorHAnsi" w:cstheme="minorHAnsi"/>
              </w:rPr>
              <w:t xml:space="preserve">услуги, който осъществява радио дейност на основание </w:t>
            </w:r>
            <w:r>
              <w:rPr>
                <w:rFonts w:asciiTheme="minorHAnsi" w:hAnsiTheme="minorHAnsi" w:cstheme="minorHAnsi"/>
              </w:rPr>
              <w:t xml:space="preserve">Закона за радиото и телевизията </w:t>
            </w:r>
            <w:r w:rsidRPr="0011762F">
              <w:rPr>
                <w:rFonts w:asciiTheme="minorHAnsi" w:hAnsiTheme="minorHAnsi" w:cstheme="minorHAnsi"/>
              </w:rPr>
              <w:t>(ЗРТ), Закона за електронните съобщения (ЗЕС) и друг</w:t>
            </w:r>
            <w:r>
              <w:rPr>
                <w:rFonts w:asciiTheme="minorHAnsi" w:hAnsiTheme="minorHAnsi" w:cstheme="minorHAnsi"/>
              </w:rPr>
              <w:t xml:space="preserve">ите </w:t>
            </w:r>
            <w:proofErr w:type="spellStart"/>
            <w:r>
              <w:rPr>
                <w:rFonts w:asciiTheme="minorHAnsi" w:hAnsiTheme="minorHAnsi" w:cstheme="minorHAnsi"/>
              </w:rPr>
              <w:t>относими</w:t>
            </w:r>
            <w:proofErr w:type="spellEnd"/>
            <w:r>
              <w:rPr>
                <w:rFonts w:asciiTheme="minorHAnsi" w:hAnsiTheme="minorHAnsi" w:cstheme="minorHAnsi"/>
              </w:rPr>
              <w:t xml:space="preserve"> актове от правната </w:t>
            </w:r>
            <w:r w:rsidRPr="0011762F">
              <w:rPr>
                <w:rFonts w:asciiTheme="minorHAnsi" w:hAnsiTheme="minorHAnsi" w:cstheme="minorHAnsi"/>
              </w:rPr>
              <w:t>рамка.</w:t>
            </w:r>
          </w:p>
          <w:p w14:paraId="17C29EFF" w14:textId="77777777" w:rsidR="0011762F" w:rsidRDefault="0011762F" w:rsidP="00CD13DC">
            <w:pPr>
              <w:spacing w:before="120"/>
              <w:jc w:val="both"/>
              <w:rPr>
                <w:rFonts w:asciiTheme="minorHAnsi" w:hAnsiTheme="minorHAnsi" w:cstheme="minorHAnsi"/>
              </w:rPr>
            </w:pPr>
            <w:r w:rsidRPr="0011762F">
              <w:rPr>
                <w:rFonts w:asciiTheme="minorHAnsi" w:hAnsiTheme="minorHAnsi" w:cstheme="minorHAnsi"/>
              </w:rPr>
              <w:t>БНР е юридическо лице със седалище С</w:t>
            </w:r>
            <w:r>
              <w:rPr>
                <w:rFonts w:asciiTheme="minorHAnsi" w:hAnsiTheme="minorHAnsi" w:cstheme="minorHAnsi"/>
              </w:rPr>
              <w:t xml:space="preserve">офия, което съставя, изпълнява, приключва </w:t>
            </w:r>
            <w:r w:rsidRPr="0011762F">
              <w:rPr>
                <w:rFonts w:asciiTheme="minorHAnsi" w:hAnsiTheme="minorHAnsi" w:cstheme="minorHAnsi"/>
              </w:rPr>
              <w:t xml:space="preserve">и отчита бюджет – отделен от държавния </w:t>
            </w:r>
            <w:r>
              <w:rPr>
                <w:rFonts w:asciiTheme="minorHAnsi" w:hAnsiTheme="minorHAnsi" w:cstheme="minorHAnsi"/>
              </w:rPr>
              <w:t xml:space="preserve">бюджет, в обхвата на бюджетните </w:t>
            </w:r>
            <w:r w:rsidRPr="0011762F">
              <w:rPr>
                <w:rFonts w:asciiTheme="minorHAnsi" w:hAnsiTheme="minorHAnsi" w:cstheme="minorHAnsi"/>
              </w:rPr>
              <w:t>взаимоотношения в рамките на консолидираната</w:t>
            </w:r>
            <w:r>
              <w:rPr>
                <w:rFonts w:asciiTheme="minorHAnsi" w:hAnsiTheme="minorHAnsi" w:cstheme="minorHAnsi"/>
              </w:rPr>
              <w:t xml:space="preserve"> фискална програма. Генералният </w:t>
            </w:r>
            <w:r w:rsidRPr="0011762F">
              <w:rPr>
                <w:rFonts w:asciiTheme="minorHAnsi" w:hAnsiTheme="minorHAnsi" w:cstheme="minorHAnsi"/>
              </w:rPr>
              <w:t xml:space="preserve">директор на БНР е първостепенен разпоредител с бюджет. </w:t>
            </w:r>
          </w:p>
          <w:p w14:paraId="6285E701" w14:textId="2E4492DB" w:rsidR="00E3679A" w:rsidRPr="0011762F" w:rsidRDefault="00E3679A" w:rsidP="00CD13DC">
            <w:pPr>
              <w:spacing w:before="120"/>
              <w:jc w:val="both"/>
              <w:rPr>
                <w:rFonts w:asciiTheme="minorHAnsi" w:hAnsiTheme="minorHAnsi" w:cstheme="minorHAnsi"/>
              </w:rPr>
            </w:pPr>
            <w:r w:rsidRPr="00950C07">
              <w:rPr>
                <w:rFonts w:asciiTheme="minorHAnsi" w:hAnsiTheme="minorHAnsi" w:cstheme="minorHAnsi"/>
                <w:b/>
              </w:rPr>
              <w:t>Ведомство:</w:t>
            </w:r>
            <w:r w:rsidR="00A018AC" w:rsidRPr="00950C07">
              <w:rPr>
                <w:rFonts w:asciiTheme="minorHAnsi" w:hAnsiTheme="minorHAnsi" w:cstheme="minorHAnsi"/>
                <w:b/>
              </w:rPr>
              <w:t xml:space="preserve"> </w:t>
            </w:r>
            <w:r w:rsidR="0011762F">
              <w:rPr>
                <w:rFonts w:asciiTheme="minorHAnsi" w:hAnsiTheme="minorHAnsi" w:cstheme="minorHAnsi"/>
              </w:rPr>
              <w:t>Българско национално радио</w:t>
            </w:r>
          </w:p>
        </w:tc>
        <w:tc>
          <w:tcPr>
            <w:tcW w:w="2126" w:type="dxa"/>
            <w:vAlign w:val="center"/>
          </w:tcPr>
          <w:p w14:paraId="45FBEC07" w14:textId="77777777" w:rsidR="00770DA8" w:rsidRPr="00950C07" w:rsidRDefault="00770DA8" w:rsidP="00CD13DC">
            <w:pPr>
              <w:spacing w:before="120"/>
              <w:jc w:val="center"/>
              <w:rPr>
                <w:rFonts w:asciiTheme="minorHAnsi" w:hAnsiTheme="minorHAnsi" w:cstheme="minorHAnsi"/>
                <w:b/>
                <w:color w:val="C0504D" w:themeColor="accent2"/>
                <w:sz w:val="22"/>
                <w:szCs w:val="22"/>
              </w:rPr>
            </w:pPr>
          </w:p>
          <w:p w14:paraId="49123C88" w14:textId="77777777" w:rsidR="00E3679A" w:rsidRDefault="00E3679A" w:rsidP="00CD13DC">
            <w:pPr>
              <w:spacing w:before="120"/>
              <w:jc w:val="center"/>
              <w:rPr>
                <w:rFonts w:asciiTheme="minorHAnsi" w:hAnsiTheme="minorHAnsi" w:cstheme="minorHAnsi"/>
                <w:b/>
                <w:color w:val="C0504D" w:themeColor="accent2"/>
                <w:sz w:val="22"/>
                <w:szCs w:val="22"/>
              </w:rPr>
            </w:pPr>
            <w:r w:rsidRPr="00950C07">
              <w:rPr>
                <w:rFonts w:asciiTheme="minorHAnsi" w:hAnsiTheme="minorHAnsi" w:cstheme="minorHAnsi"/>
                <w:b/>
                <w:color w:val="C0504D" w:themeColor="accent2"/>
                <w:sz w:val="22"/>
                <w:szCs w:val="22"/>
              </w:rPr>
              <w:t>ПРОВАЛ</w:t>
            </w:r>
          </w:p>
          <w:p w14:paraId="6C9A9A23" w14:textId="63951F99" w:rsidR="0011762F" w:rsidRPr="0011762F" w:rsidRDefault="0011762F" w:rsidP="00CD13DC">
            <w:pPr>
              <w:spacing w:before="120"/>
              <w:jc w:val="center"/>
              <w:rPr>
                <w:rFonts w:asciiTheme="minorHAnsi" w:hAnsiTheme="minorHAnsi" w:cstheme="minorHAnsi"/>
                <w:color w:val="C0504D" w:themeColor="accent2"/>
              </w:rPr>
            </w:pPr>
            <w:r w:rsidRPr="0011762F">
              <w:rPr>
                <w:rFonts w:asciiTheme="minorHAnsi" w:hAnsiTheme="minorHAnsi" w:cstheme="minorHAnsi"/>
                <w:color w:val="C0504D" w:themeColor="accent2"/>
              </w:rPr>
              <w:t xml:space="preserve">73 одитни доказателства са изпратени до Прокуратурата. </w:t>
            </w:r>
          </w:p>
        </w:tc>
      </w:tr>
      <w:tr w:rsidR="00E3679A" w:rsidRPr="00950C07" w14:paraId="14CFEE5C" w14:textId="77777777" w:rsidTr="007A7EAB">
        <w:trPr>
          <w:trHeight w:val="742"/>
        </w:trPr>
        <w:tc>
          <w:tcPr>
            <w:tcW w:w="3794" w:type="dxa"/>
          </w:tcPr>
          <w:p w14:paraId="73FCE5D8"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480A8136" w14:textId="0EA5B24C" w:rsidR="00E3679A" w:rsidRPr="00950C07" w:rsidRDefault="00E3679A" w:rsidP="00CD13DC">
            <w:pPr>
              <w:spacing w:before="120"/>
              <w:rPr>
                <w:rFonts w:asciiTheme="minorHAnsi" w:hAnsiTheme="minorHAnsi" w:cstheme="minorHAnsi"/>
                <w:color w:val="9BBB59" w:themeColor="accent3"/>
              </w:rPr>
            </w:pPr>
            <w:r w:rsidRPr="00950C07">
              <w:rPr>
                <w:rFonts w:asciiTheme="minorHAnsi" w:hAnsiTheme="minorHAnsi" w:cstheme="minorHAnsi"/>
              </w:rPr>
              <w:t>01.01.201</w:t>
            </w:r>
            <w:r w:rsidR="0011762F">
              <w:rPr>
                <w:rFonts w:asciiTheme="minorHAnsi" w:hAnsiTheme="minorHAnsi" w:cstheme="minorHAnsi"/>
              </w:rPr>
              <w:t>7</w:t>
            </w:r>
            <w:r w:rsidRPr="00950C07">
              <w:rPr>
                <w:rFonts w:asciiTheme="minorHAnsi" w:hAnsiTheme="minorHAnsi" w:cstheme="minorHAnsi"/>
              </w:rPr>
              <w:t xml:space="preserve"> г. </w:t>
            </w:r>
            <w:r w:rsidR="00A018AC" w:rsidRPr="00950C07">
              <w:rPr>
                <w:rFonts w:asciiTheme="minorHAnsi" w:hAnsiTheme="minorHAnsi" w:cstheme="minorHAnsi"/>
              </w:rPr>
              <w:t>–</w:t>
            </w:r>
            <w:r w:rsidRPr="00950C07">
              <w:rPr>
                <w:rFonts w:asciiTheme="minorHAnsi" w:hAnsiTheme="minorHAnsi" w:cstheme="minorHAnsi"/>
              </w:rPr>
              <w:t xml:space="preserve"> </w:t>
            </w:r>
            <w:r w:rsidR="0011762F">
              <w:rPr>
                <w:rFonts w:asciiTheme="minorHAnsi" w:hAnsiTheme="minorHAnsi" w:cstheme="minorHAnsi"/>
              </w:rPr>
              <w:t>30.09</w:t>
            </w:r>
            <w:r w:rsidRPr="00950C07">
              <w:rPr>
                <w:rFonts w:asciiTheme="minorHAnsi" w:hAnsiTheme="minorHAnsi" w:cstheme="minorHAnsi"/>
              </w:rPr>
              <w:t>.201</w:t>
            </w:r>
            <w:r w:rsidR="0011762F">
              <w:rPr>
                <w:rFonts w:asciiTheme="minorHAnsi" w:hAnsiTheme="minorHAnsi" w:cstheme="minorHAnsi"/>
              </w:rPr>
              <w:t>9</w:t>
            </w:r>
            <w:r w:rsidRPr="00950C07">
              <w:rPr>
                <w:rFonts w:asciiTheme="minorHAnsi" w:hAnsiTheme="minorHAnsi" w:cstheme="minorHAnsi"/>
              </w:rPr>
              <w:t xml:space="preserve"> г.</w:t>
            </w:r>
          </w:p>
        </w:tc>
        <w:tc>
          <w:tcPr>
            <w:tcW w:w="2551" w:type="dxa"/>
          </w:tcPr>
          <w:p w14:paraId="560BDB31"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1FE4DA31" w14:textId="10DE9F36" w:rsidR="00E3679A" w:rsidRPr="00950C07" w:rsidRDefault="0011762F" w:rsidP="00CD13DC">
            <w:pPr>
              <w:spacing w:before="120"/>
              <w:rPr>
                <w:rFonts w:asciiTheme="minorHAnsi" w:hAnsiTheme="minorHAnsi" w:cstheme="minorHAnsi"/>
              </w:rPr>
            </w:pPr>
            <w:r>
              <w:rPr>
                <w:rFonts w:asciiTheme="minorHAnsi" w:hAnsiTheme="minorHAnsi" w:cstheme="minorHAnsi"/>
              </w:rPr>
              <w:t>126 291 209</w:t>
            </w:r>
            <w:r w:rsidR="00E3679A" w:rsidRPr="00950C07">
              <w:rPr>
                <w:rFonts w:asciiTheme="minorHAnsi" w:hAnsiTheme="minorHAnsi" w:cstheme="minorHAnsi"/>
              </w:rPr>
              <w:t xml:space="preserve"> лв.</w:t>
            </w:r>
          </w:p>
        </w:tc>
        <w:tc>
          <w:tcPr>
            <w:tcW w:w="2977" w:type="dxa"/>
            <w:gridSpan w:val="2"/>
          </w:tcPr>
          <w:p w14:paraId="29935927" w14:textId="77777777" w:rsidR="00E3679A" w:rsidRPr="00950C07" w:rsidRDefault="005B287A" w:rsidP="00CD13DC">
            <w:pPr>
              <w:spacing w:before="120"/>
              <w:rPr>
                <w:rFonts w:asciiTheme="minorHAnsi" w:hAnsiTheme="minorHAnsi" w:cstheme="minorHAnsi"/>
                <w:b/>
                <w:color w:val="C0504D" w:themeColor="accent2"/>
                <w:u w:val="single"/>
              </w:rPr>
            </w:pPr>
            <w:hyperlink r:id="rId45" w:history="1">
              <w:r w:rsidR="00E3679A" w:rsidRPr="00950C07">
                <w:rPr>
                  <w:rStyle w:val="Hyperlink"/>
                  <w:rFonts w:asciiTheme="minorHAnsi" w:hAnsiTheme="minorHAnsi" w:cstheme="minorHAnsi"/>
                  <w:b/>
                  <w:color w:val="C0504D" w:themeColor="accent2"/>
                </w:rPr>
                <w:t>Доклад на Сметната палата</w:t>
              </w:r>
            </w:hyperlink>
          </w:p>
        </w:tc>
      </w:tr>
      <w:tr w:rsidR="00E3679A" w:rsidRPr="00950C07" w14:paraId="4E56716A" w14:textId="77777777" w:rsidTr="007A7EAB">
        <w:tc>
          <w:tcPr>
            <w:tcW w:w="9322" w:type="dxa"/>
            <w:gridSpan w:val="4"/>
            <w:shd w:val="clear" w:color="auto" w:fill="D99594" w:themeFill="accent2" w:themeFillTint="99"/>
          </w:tcPr>
          <w:p w14:paraId="07F7F3F3" w14:textId="77777777" w:rsidR="00E3679A" w:rsidRPr="00950C07" w:rsidRDefault="00E3679A" w:rsidP="00CD13DC">
            <w:pPr>
              <w:spacing w:before="120"/>
              <w:rPr>
                <w:rFonts w:asciiTheme="minorHAnsi" w:hAnsiTheme="minorHAnsi" w:cstheme="minorHAnsi"/>
                <w:b/>
                <w:color w:val="000000" w:themeColor="text1"/>
              </w:rPr>
            </w:pPr>
            <w:r w:rsidRPr="00950C07">
              <w:rPr>
                <w:rFonts w:asciiTheme="minorHAnsi" w:hAnsiTheme="minorHAnsi" w:cstheme="minorHAnsi"/>
                <w:b/>
                <w:color w:val="000000" w:themeColor="text1"/>
              </w:rPr>
              <w:t>Причини:</w:t>
            </w:r>
          </w:p>
        </w:tc>
      </w:tr>
      <w:tr w:rsidR="00E3679A" w:rsidRPr="00950C07" w14:paraId="6D07BEE5" w14:textId="77777777" w:rsidTr="007A7EAB">
        <w:trPr>
          <w:trHeight w:val="697"/>
        </w:trPr>
        <w:tc>
          <w:tcPr>
            <w:tcW w:w="9322" w:type="dxa"/>
            <w:gridSpan w:val="4"/>
          </w:tcPr>
          <w:p w14:paraId="6549DBED" w14:textId="0B531750" w:rsidR="00A018AC" w:rsidRPr="006C7B62" w:rsidRDefault="0011762F"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През одитирания период процес</w:t>
            </w:r>
            <w:r w:rsidR="004D2C2C">
              <w:rPr>
                <w:rFonts w:asciiTheme="minorHAnsi" w:eastAsia="Times New Roman" w:hAnsiTheme="minorHAnsi" w:cstheme="minorHAnsi"/>
              </w:rPr>
              <w:t>ът</w:t>
            </w:r>
            <w:r w:rsidRPr="006C7B62">
              <w:rPr>
                <w:rFonts w:asciiTheme="minorHAnsi" w:eastAsia="Times New Roman" w:hAnsiTheme="minorHAnsi" w:cstheme="minorHAnsi"/>
              </w:rPr>
              <w:t xml:space="preserve"> по съставяне, приемане, променяне и изпълняване на бюджета на БНР е в съществено несъответствие с приложимата правна рамка.</w:t>
            </w:r>
          </w:p>
          <w:p w14:paraId="29E6CF93" w14:textId="27B168C7" w:rsidR="0011762F" w:rsidRPr="006C7B62" w:rsidRDefault="0011762F"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При планирането на приходите не е взето предвид неизпълнението през предходните периоди, като въпреки отчетеното намаляване размерът на планираните приходи е непроменен.</w:t>
            </w:r>
          </w:p>
          <w:p w14:paraId="5C0D7375" w14:textId="72F533FC" w:rsidR="0011762F" w:rsidRPr="006C7B62" w:rsidRDefault="0011762F"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Дейността по извършване на разходи за персонал, нает по трудови правоотношения, е в съществено несъответствие с изискванията на правната рамка по различни съществени аспекта.</w:t>
            </w:r>
            <w:r w:rsidR="00F3121E" w:rsidRPr="006C7B62">
              <w:rPr>
                <w:rFonts w:asciiTheme="minorHAnsi" w:hAnsiTheme="minorHAnsi"/>
              </w:rPr>
              <w:t xml:space="preserve">  </w:t>
            </w:r>
            <w:r w:rsidR="00F3121E" w:rsidRPr="006C7B62">
              <w:rPr>
                <w:rFonts w:asciiTheme="minorHAnsi" w:eastAsia="Times New Roman" w:hAnsiTheme="minorHAnsi" w:cstheme="minorHAnsi"/>
              </w:rPr>
              <w:t>Дейностите по подбор и назначаване са в съществено несъответствие с изискванията на правната рамка за заемането на съответните длъжности – при одита не е получена увереност, че служителите са назначени законосъобразно в съответствие с критериите за подбор по длъжностните характеристики и изискванията на правната рамка и във връзка с това, че разходите за възнагражденията им през одитирания период в общ размер 341 721 лв. са законосъобразно извършени.</w:t>
            </w:r>
          </w:p>
          <w:p w14:paraId="43D83CF6" w14:textId="52BC4060" w:rsidR="00F3121E"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През одитирания период сключването на граждански договори в БНР-София е в съществено несъответствие с правната рамка. Определянето на възнагражденията по договорите и сключването им са извършвани след изпълнението на дейностите, за голяма част от договорите възнагражденията са под/над минималните и максималните размери за съответните дейности, не е поддържан общ регистър на трудовите договори.</w:t>
            </w:r>
          </w:p>
          <w:p w14:paraId="1AFE7274" w14:textId="5242ABC8" w:rsidR="00F3121E"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Дейността, свързана с разходите за издръжка и капиталовите разходи е осъществена в съществено несъответствие по различни съществени аспекти с действащата през одитирания период правна рамка и договорите.</w:t>
            </w:r>
          </w:p>
          <w:p w14:paraId="3D81D3D5" w14:textId="1B43CE2A" w:rsidR="0011762F"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Към участниците в процедура по ЗОП е поставено изискване за минимален оборот, което ограничава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обществените поръчки.</w:t>
            </w:r>
          </w:p>
          <w:p w14:paraId="58399C83" w14:textId="47F6B10A" w:rsidR="00F3121E"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При неизпълнение на договори за обществени поръчки, от страна на възложителя БНР не са предявявани и съответно от изпълнителите на обществените поръчки не са плащани, уговорените с договорите обезщетения/неустойки за неизпълнение.</w:t>
            </w:r>
          </w:p>
          <w:p w14:paraId="0C13E8E0" w14:textId="633918EE" w:rsidR="00F3121E"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eastAsia="Times New Roman" w:hAnsiTheme="minorHAnsi" w:cstheme="minorHAnsi"/>
              </w:rPr>
              <w:t>Установени са случаи на незаконосъобразно изменение на договори за обществена поръчка за увеличаване на цената на доставяната стока.</w:t>
            </w:r>
          </w:p>
          <w:p w14:paraId="2C6EFDFD" w14:textId="7C2A44CE" w:rsidR="00F3121E" w:rsidRPr="006C7B62" w:rsidRDefault="00F3121E"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hAnsiTheme="minorHAnsi"/>
              </w:rPr>
              <w:t>Изпълнението на договора за доброволно здравно осигуряване чрез медицинска застраховка на служителите и работниците в БНР е в несъответствие с правната рамка и договора.</w:t>
            </w:r>
          </w:p>
          <w:p w14:paraId="7C9E8BC4" w14:textId="3E55587B" w:rsidR="006C7B62" w:rsidRPr="006C7B62" w:rsidRDefault="006C7B62" w:rsidP="00CD13DC">
            <w:pPr>
              <w:pStyle w:val="ListParagraph"/>
              <w:numPr>
                <w:ilvl w:val="0"/>
                <w:numId w:val="21"/>
              </w:numPr>
              <w:spacing w:before="120"/>
              <w:ind w:left="714" w:hanging="357"/>
              <w:contextualSpacing w:val="0"/>
              <w:jc w:val="both"/>
              <w:rPr>
                <w:rFonts w:asciiTheme="minorHAnsi" w:eastAsia="Times New Roman" w:hAnsiTheme="minorHAnsi" w:cstheme="minorHAnsi"/>
              </w:rPr>
            </w:pPr>
            <w:r w:rsidRPr="006C7B62">
              <w:rPr>
                <w:rFonts w:asciiTheme="minorHAnsi" w:hAnsiTheme="minorHAnsi"/>
              </w:rPr>
              <w:t>Дейностите, свързани с управлението и разпореждането с имущество на БНР са осъществени в съществено несъответствие с правната рамка през одитирания период по различни съществени аспекти.</w:t>
            </w:r>
          </w:p>
          <w:p w14:paraId="5E30D341" w14:textId="77777777" w:rsidR="006C7B62" w:rsidRPr="006C7B62" w:rsidRDefault="006C7B62" w:rsidP="00CD13DC">
            <w:pPr>
              <w:pStyle w:val="ListParagraph"/>
              <w:numPr>
                <w:ilvl w:val="0"/>
                <w:numId w:val="21"/>
              </w:numPr>
              <w:spacing w:before="120"/>
              <w:ind w:left="714" w:hanging="357"/>
              <w:contextualSpacing w:val="0"/>
              <w:jc w:val="both"/>
              <w:rPr>
                <w:rFonts w:asciiTheme="minorHAnsi" w:hAnsiTheme="minorHAnsi" w:cstheme="minorHAnsi"/>
              </w:rPr>
            </w:pPr>
            <w:r w:rsidRPr="006C7B62">
              <w:rPr>
                <w:rFonts w:asciiTheme="minorHAnsi" w:hAnsiTheme="minorHAnsi"/>
              </w:rPr>
              <w:t>При провеждането на тръжни процедури за продажба на движими вещи – държавна собственост, транспортни средства, определянето на първоначалните тръжни цени е в несъответствие с правната рамка. Установени са случаи, в които определената първоначална тръжна цена на автомобилите е три пъти по-ниска от разходите за ремонт, извършен непосредствено преди продажбата им, или определената първоначална тръжна цена на автомобилите е по-ниска от балансовата стойност на принадлежностите към тях, продадени ведно с автомобилите.</w:t>
            </w:r>
          </w:p>
          <w:p w14:paraId="179C94DE" w14:textId="4AC000DB" w:rsidR="00E3679A" w:rsidRPr="003A6843" w:rsidRDefault="006C7B62" w:rsidP="00CD13DC">
            <w:pPr>
              <w:pStyle w:val="ListParagraph"/>
              <w:numPr>
                <w:ilvl w:val="0"/>
                <w:numId w:val="21"/>
              </w:numPr>
              <w:spacing w:before="120"/>
              <w:ind w:left="714" w:hanging="357"/>
              <w:contextualSpacing w:val="0"/>
              <w:jc w:val="both"/>
              <w:rPr>
                <w:rFonts w:cstheme="minorHAnsi"/>
              </w:rPr>
            </w:pPr>
            <w:r w:rsidRPr="006C7B62">
              <w:rPr>
                <w:rFonts w:asciiTheme="minorHAnsi" w:hAnsiTheme="minorHAnsi"/>
              </w:rPr>
              <w:t>Имотите и вещите – държавна собственост, наемните правоотношения и ползването на имотите/части от имотите, не са управлявани с дължимата грижа на добър стопанин и съобразно принципите за законосъобразност и добро финансово управление съгласно изискванията на</w:t>
            </w:r>
            <w:r w:rsidR="00E3679A" w:rsidRPr="006C7B62">
              <w:rPr>
                <w:rFonts w:asciiTheme="minorHAnsi" w:eastAsia="Times New Roman" w:hAnsiTheme="minorHAnsi" w:cstheme="minorHAnsi"/>
              </w:rPr>
              <w:t xml:space="preserve"> </w:t>
            </w:r>
            <w:r w:rsidRPr="006C7B62">
              <w:rPr>
                <w:rFonts w:asciiTheme="minorHAnsi" w:eastAsia="Times New Roman" w:hAnsiTheme="minorHAnsi" w:cstheme="minorHAnsi"/>
              </w:rPr>
              <w:t>нормативната база.</w:t>
            </w:r>
          </w:p>
        </w:tc>
      </w:tr>
    </w:tbl>
    <w:p w14:paraId="5D334483" w14:textId="77777777" w:rsidR="00E3679A" w:rsidRPr="00950C07" w:rsidRDefault="00E3679A" w:rsidP="00CD13DC">
      <w:pPr>
        <w:spacing w:before="120" w:after="0" w:line="240" w:lineRule="auto"/>
        <w:rPr>
          <w:rFonts w:cstheme="minorHAnsi"/>
          <w:lang w:val="en-US"/>
        </w:rPr>
      </w:pPr>
    </w:p>
    <w:tbl>
      <w:tblPr>
        <w:tblStyle w:val="TableGrid"/>
        <w:tblW w:w="932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none" w:sz="0" w:space="0" w:color="auto"/>
        </w:tblBorders>
        <w:tblLook w:val="04A0" w:firstRow="1" w:lastRow="0" w:firstColumn="1" w:lastColumn="0" w:noHBand="0" w:noVBand="1"/>
      </w:tblPr>
      <w:tblGrid>
        <w:gridCol w:w="3794"/>
        <w:gridCol w:w="2551"/>
        <w:gridCol w:w="851"/>
        <w:gridCol w:w="2126"/>
      </w:tblGrid>
      <w:tr w:rsidR="00E3679A" w:rsidRPr="00950C07" w14:paraId="004ABD2C" w14:textId="77777777" w:rsidTr="007A7EAB">
        <w:trPr>
          <w:trHeight w:val="742"/>
        </w:trPr>
        <w:tc>
          <w:tcPr>
            <w:tcW w:w="7196" w:type="dxa"/>
            <w:gridSpan w:val="3"/>
            <w:vAlign w:val="center"/>
          </w:tcPr>
          <w:p w14:paraId="12D83008" w14:textId="36293E0B" w:rsidR="00564078" w:rsidRDefault="00B133CC" w:rsidP="00CD13DC">
            <w:pPr>
              <w:spacing w:before="120"/>
              <w:jc w:val="center"/>
              <w:rPr>
                <w:rFonts w:asciiTheme="minorHAnsi" w:hAnsiTheme="minorHAnsi" w:cstheme="minorHAnsi"/>
                <w:b/>
              </w:rPr>
            </w:pPr>
            <w:r w:rsidRPr="00B133CC">
              <w:rPr>
                <w:rFonts w:asciiTheme="minorHAnsi" w:hAnsiTheme="minorHAnsi" w:cstheme="minorHAnsi"/>
                <w:b/>
              </w:rPr>
              <w:t xml:space="preserve">Ефективност </w:t>
            </w:r>
            <w:r>
              <w:rPr>
                <w:rFonts w:asciiTheme="minorHAnsi" w:hAnsiTheme="minorHAnsi" w:cstheme="minorHAnsi"/>
                <w:b/>
              </w:rPr>
              <w:t>на мерките за борба с бедността</w:t>
            </w:r>
          </w:p>
          <w:p w14:paraId="1787F1F8" w14:textId="2FF002EE" w:rsidR="00B133CC" w:rsidRPr="00B133CC" w:rsidRDefault="00B133CC" w:rsidP="00CD13DC">
            <w:pPr>
              <w:spacing w:before="120"/>
              <w:jc w:val="center"/>
              <w:rPr>
                <w:rFonts w:asciiTheme="minorHAnsi" w:hAnsiTheme="minorHAnsi" w:cstheme="minorHAnsi"/>
                <w:b/>
                <w:i/>
              </w:rPr>
            </w:pPr>
            <w:r w:rsidRPr="00B133CC">
              <w:rPr>
                <w:rFonts w:asciiTheme="minorHAnsi" w:hAnsiTheme="minorHAnsi" w:cstheme="minorHAnsi"/>
                <w:b/>
                <w:i/>
              </w:rPr>
              <w:t>Одит на изпълнението</w:t>
            </w:r>
          </w:p>
          <w:p w14:paraId="0AB75F9A" w14:textId="0DEAD505" w:rsidR="00E3679A" w:rsidRPr="00B133CC" w:rsidRDefault="00B133CC" w:rsidP="00CD13DC">
            <w:pPr>
              <w:spacing w:before="120"/>
              <w:jc w:val="both"/>
              <w:rPr>
                <w:rFonts w:asciiTheme="minorHAnsi" w:hAnsiTheme="minorHAnsi" w:cstheme="minorHAnsi"/>
              </w:rPr>
            </w:pPr>
            <w:r w:rsidRPr="00B133CC">
              <w:rPr>
                <w:rFonts w:asciiTheme="minorHAnsi" w:hAnsiTheme="minorHAnsi" w:cstheme="minorHAnsi"/>
              </w:rPr>
              <w:t>Анализът и оценките са фокусирани върху стратегическата рамка като средство за ефективна реализация на политиката, насочена към намаляване на бедността, създадената организация при планирането на изпълнението на политиката, приноса на системата за мониторинг и оценка за подобряване управлението на политиката и степента за постигане на националната цел за намаляване на лицата, живеещи в бедност.</w:t>
            </w:r>
          </w:p>
          <w:p w14:paraId="37DB4F5E" w14:textId="7CCCFEA0" w:rsidR="00E3679A" w:rsidRPr="00950C07" w:rsidRDefault="00B133CC" w:rsidP="00CD13DC">
            <w:pPr>
              <w:spacing w:before="120"/>
              <w:rPr>
                <w:rFonts w:asciiTheme="minorHAnsi" w:hAnsiTheme="minorHAnsi" w:cstheme="minorHAnsi"/>
                <w:b/>
              </w:rPr>
            </w:pPr>
            <w:r>
              <w:rPr>
                <w:rFonts w:asciiTheme="minorHAnsi" w:hAnsiTheme="minorHAnsi" w:cstheme="minorHAnsi"/>
                <w:b/>
              </w:rPr>
              <w:t>Ведомства</w:t>
            </w:r>
            <w:r w:rsidR="00E3679A" w:rsidRPr="00950C07">
              <w:rPr>
                <w:rFonts w:asciiTheme="minorHAnsi" w:hAnsiTheme="minorHAnsi" w:cstheme="minorHAnsi"/>
                <w:b/>
              </w:rPr>
              <w:t>:</w:t>
            </w:r>
          </w:p>
          <w:p w14:paraId="1807129B" w14:textId="2514687D" w:rsidR="00B133CC" w:rsidRDefault="00B133CC" w:rsidP="00CD13DC">
            <w:pPr>
              <w:spacing w:before="120"/>
              <w:rPr>
                <w:rFonts w:asciiTheme="minorHAnsi" w:hAnsiTheme="minorHAnsi" w:cstheme="minorHAnsi"/>
              </w:rPr>
            </w:pPr>
            <w:r>
              <w:rPr>
                <w:rFonts w:asciiTheme="minorHAnsi" w:hAnsiTheme="minorHAnsi" w:cstheme="minorHAnsi"/>
              </w:rPr>
              <w:t xml:space="preserve">Министерство на труда и социалната политика </w:t>
            </w:r>
          </w:p>
          <w:p w14:paraId="73809A5E" w14:textId="3799881A" w:rsidR="00E3679A" w:rsidRPr="00950C07" w:rsidRDefault="00B133CC" w:rsidP="00CD13DC">
            <w:pPr>
              <w:spacing w:before="120"/>
              <w:rPr>
                <w:rFonts w:asciiTheme="minorHAnsi" w:hAnsiTheme="minorHAnsi" w:cstheme="minorHAnsi"/>
              </w:rPr>
            </w:pPr>
            <w:r>
              <w:rPr>
                <w:rFonts w:asciiTheme="minorHAnsi" w:hAnsiTheme="minorHAnsi" w:cstheme="minorHAnsi"/>
              </w:rPr>
              <w:t>Министерство на образованието и науката</w:t>
            </w:r>
          </w:p>
        </w:tc>
        <w:tc>
          <w:tcPr>
            <w:tcW w:w="2126" w:type="dxa"/>
            <w:vAlign w:val="center"/>
          </w:tcPr>
          <w:p w14:paraId="27AF0475" w14:textId="77777777" w:rsidR="00E3679A" w:rsidRPr="00950C07" w:rsidRDefault="00E3679A" w:rsidP="00CD13DC">
            <w:pPr>
              <w:spacing w:before="120"/>
              <w:jc w:val="center"/>
              <w:rPr>
                <w:rFonts w:asciiTheme="minorHAnsi" w:hAnsiTheme="minorHAnsi" w:cstheme="minorHAnsi"/>
                <w:color w:val="C0504D" w:themeColor="accent2"/>
                <w:sz w:val="22"/>
                <w:szCs w:val="22"/>
              </w:rPr>
            </w:pPr>
            <w:r w:rsidRPr="00950C07">
              <w:rPr>
                <w:rFonts w:asciiTheme="minorHAnsi" w:hAnsiTheme="minorHAnsi" w:cstheme="minorHAnsi"/>
                <w:b/>
                <w:color w:val="C0504D" w:themeColor="accent2"/>
                <w:sz w:val="22"/>
                <w:szCs w:val="22"/>
              </w:rPr>
              <w:t>ПРОВАЛ</w:t>
            </w:r>
          </w:p>
        </w:tc>
      </w:tr>
      <w:tr w:rsidR="00E3679A" w:rsidRPr="00950C07" w14:paraId="6B016A05" w14:textId="77777777" w:rsidTr="007A7EAB">
        <w:trPr>
          <w:trHeight w:val="742"/>
        </w:trPr>
        <w:tc>
          <w:tcPr>
            <w:tcW w:w="3794" w:type="dxa"/>
          </w:tcPr>
          <w:p w14:paraId="4E47EB18"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3812D4B5" w14:textId="6985A6BE" w:rsidR="00E3679A" w:rsidRPr="00950C07" w:rsidRDefault="00E3679A" w:rsidP="00CD13DC">
            <w:pPr>
              <w:spacing w:before="120"/>
              <w:rPr>
                <w:rFonts w:asciiTheme="minorHAnsi" w:hAnsiTheme="minorHAnsi" w:cstheme="minorHAnsi"/>
                <w:color w:val="9BBB59" w:themeColor="accent3"/>
              </w:rPr>
            </w:pPr>
            <w:r w:rsidRPr="00950C07">
              <w:rPr>
                <w:rFonts w:asciiTheme="minorHAnsi" w:hAnsiTheme="minorHAnsi" w:cstheme="minorHAnsi"/>
              </w:rPr>
              <w:t>01.01.201</w:t>
            </w:r>
            <w:r w:rsidR="00B133CC">
              <w:rPr>
                <w:rFonts w:asciiTheme="minorHAnsi" w:hAnsiTheme="minorHAnsi" w:cstheme="minorHAnsi"/>
              </w:rPr>
              <w:t>5</w:t>
            </w:r>
            <w:r w:rsidRPr="00950C07">
              <w:rPr>
                <w:rFonts w:asciiTheme="minorHAnsi" w:hAnsiTheme="minorHAnsi" w:cstheme="minorHAnsi"/>
              </w:rPr>
              <w:t xml:space="preserve"> г. - 3</w:t>
            </w:r>
            <w:r w:rsidR="00564078" w:rsidRPr="00950C07">
              <w:rPr>
                <w:rFonts w:asciiTheme="minorHAnsi" w:hAnsiTheme="minorHAnsi" w:cstheme="minorHAnsi"/>
              </w:rPr>
              <w:t>1</w:t>
            </w:r>
            <w:r w:rsidRPr="00950C07">
              <w:rPr>
                <w:rFonts w:asciiTheme="minorHAnsi" w:hAnsiTheme="minorHAnsi" w:cstheme="minorHAnsi"/>
              </w:rPr>
              <w:t>.</w:t>
            </w:r>
            <w:r w:rsidR="00B133CC">
              <w:rPr>
                <w:rFonts w:asciiTheme="minorHAnsi" w:hAnsiTheme="minorHAnsi" w:cstheme="minorHAnsi"/>
              </w:rPr>
              <w:t>12</w:t>
            </w:r>
            <w:r w:rsidR="00564078" w:rsidRPr="00950C07">
              <w:rPr>
                <w:rFonts w:asciiTheme="minorHAnsi" w:hAnsiTheme="minorHAnsi" w:cstheme="minorHAnsi"/>
              </w:rPr>
              <w:t>.2018</w:t>
            </w:r>
            <w:r w:rsidRPr="00950C07">
              <w:rPr>
                <w:rFonts w:asciiTheme="minorHAnsi" w:hAnsiTheme="minorHAnsi" w:cstheme="minorHAnsi"/>
                <w:lang w:val="en-US"/>
              </w:rPr>
              <w:t xml:space="preserve"> </w:t>
            </w:r>
            <w:r w:rsidRPr="00950C07">
              <w:rPr>
                <w:rFonts w:asciiTheme="minorHAnsi" w:hAnsiTheme="minorHAnsi" w:cstheme="minorHAnsi"/>
              </w:rPr>
              <w:t>г.</w:t>
            </w:r>
          </w:p>
        </w:tc>
        <w:tc>
          <w:tcPr>
            <w:tcW w:w="2551" w:type="dxa"/>
          </w:tcPr>
          <w:p w14:paraId="4576F593"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7FB7EFBA" w14:textId="7A858C5B" w:rsidR="00E3679A" w:rsidRPr="008F562C" w:rsidRDefault="00E3679A" w:rsidP="00CD13DC">
            <w:pPr>
              <w:pStyle w:val="ListParagraph"/>
              <w:numPr>
                <w:ilvl w:val="0"/>
                <w:numId w:val="23"/>
              </w:numPr>
              <w:spacing w:before="120"/>
              <w:rPr>
                <w:rFonts w:eastAsia="Times New Roman" w:cstheme="minorHAnsi"/>
              </w:rPr>
            </w:pPr>
          </w:p>
        </w:tc>
        <w:tc>
          <w:tcPr>
            <w:tcW w:w="2977" w:type="dxa"/>
            <w:gridSpan w:val="2"/>
          </w:tcPr>
          <w:p w14:paraId="4E749EEB" w14:textId="4477B82E" w:rsidR="00E3679A" w:rsidRPr="00950C07" w:rsidRDefault="005B287A" w:rsidP="00CD13DC">
            <w:pPr>
              <w:spacing w:before="120"/>
              <w:rPr>
                <w:rFonts w:asciiTheme="minorHAnsi" w:hAnsiTheme="minorHAnsi" w:cstheme="minorHAnsi"/>
                <w:b/>
                <w:color w:val="C0504D" w:themeColor="accent2"/>
                <w:u w:val="single"/>
              </w:rPr>
            </w:pPr>
            <w:hyperlink r:id="rId46" w:history="1">
              <w:r w:rsidR="00E3679A" w:rsidRPr="00950C07">
                <w:rPr>
                  <w:rStyle w:val="Hyperlink"/>
                  <w:rFonts w:asciiTheme="minorHAnsi" w:hAnsiTheme="minorHAnsi" w:cstheme="minorHAnsi"/>
                  <w:b/>
                  <w:color w:val="C0504D" w:themeColor="accent2"/>
                </w:rPr>
                <w:t>Доклад на Сметната палата</w:t>
              </w:r>
            </w:hyperlink>
          </w:p>
        </w:tc>
      </w:tr>
      <w:tr w:rsidR="00E3679A" w:rsidRPr="00950C07" w14:paraId="1DDF37AB" w14:textId="77777777" w:rsidTr="007A7EAB">
        <w:tc>
          <w:tcPr>
            <w:tcW w:w="9322" w:type="dxa"/>
            <w:gridSpan w:val="4"/>
            <w:shd w:val="clear" w:color="auto" w:fill="D99594" w:themeFill="accent2" w:themeFillTint="99"/>
          </w:tcPr>
          <w:p w14:paraId="304D3B0D" w14:textId="77777777" w:rsidR="00E3679A" w:rsidRPr="00950C07" w:rsidRDefault="00E3679A" w:rsidP="00CD13DC">
            <w:pPr>
              <w:spacing w:before="120"/>
              <w:rPr>
                <w:rFonts w:asciiTheme="minorHAnsi" w:hAnsiTheme="minorHAnsi" w:cstheme="minorHAnsi"/>
                <w:b/>
                <w:color w:val="000000" w:themeColor="text1"/>
              </w:rPr>
            </w:pPr>
            <w:r w:rsidRPr="00950C07">
              <w:rPr>
                <w:rFonts w:asciiTheme="minorHAnsi" w:hAnsiTheme="minorHAnsi" w:cstheme="minorHAnsi"/>
                <w:b/>
                <w:color w:val="000000" w:themeColor="text1"/>
              </w:rPr>
              <w:t>Причини:</w:t>
            </w:r>
          </w:p>
        </w:tc>
      </w:tr>
      <w:tr w:rsidR="00E3679A" w:rsidRPr="00950C07" w14:paraId="2234977D" w14:textId="77777777" w:rsidTr="007A7EAB">
        <w:trPr>
          <w:trHeight w:val="697"/>
        </w:trPr>
        <w:tc>
          <w:tcPr>
            <w:tcW w:w="9322" w:type="dxa"/>
            <w:gridSpan w:val="4"/>
          </w:tcPr>
          <w:p w14:paraId="79DF62F2" w14:textId="3C48D5E4" w:rsidR="00B133CC" w:rsidRPr="001A76F5" w:rsidRDefault="00B133CC" w:rsidP="00CD13DC">
            <w:pPr>
              <w:spacing w:before="120"/>
              <w:jc w:val="both"/>
              <w:rPr>
                <w:rFonts w:asciiTheme="minorHAnsi" w:eastAsiaTheme="minorHAnsi" w:hAnsiTheme="minorHAnsi" w:cstheme="minorHAnsi"/>
              </w:rPr>
            </w:pPr>
            <w:r w:rsidRPr="001A76F5">
              <w:rPr>
                <w:rFonts w:asciiTheme="minorHAnsi" w:hAnsiTheme="minorHAnsi" w:cstheme="minorHAnsi"/>
              </w:rPr>
              <w:t>Наличието на ограничен напредък при постигането на националната цел, задълбочаващото се неравенство при разпределението на доходите, силно изразените регионални различия в бедността, изоставането и раздалечаването спрямо нивата на бедност в останалите държави в Европейския съюз, на фона на ниските нива на безработица и икономическото развитие на страната показва, че мерките за борба с бедността не са достатъчно ефективни и е необходимо цялостно преосмисляне на механизмите на планиране, изпълнение, мониторинг и оценка на политиката за борба с бедността и социалното включване, така че да се осигури подобряване качеството на живот на уязвимите групи и създаване на условия за тяхната пълноценна реализация.</w:t>
            </w:r>
          </w:p>
          <w:p w14:paraId="77813E53" w14:textId="3831ED90" w:rsidR="00B133CC"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 xml:space="preserve">Стратегическите цели не са </w:t>
            </w:r>
            <w:proofErr w:type="spellStart"/>
            <w:r w:rsidRPr="001A76F5">
              <w:rPr>
                <w:rFonts w:asciiTheme="minorHAnsi" w:hAnsiTheme="minorHAnsi" w:cstheme="minorHAnsi"/>
              </w:rPr>
              <w:t>операционализирани</w:t>
            </w:r>
            <w:proofErr w:type="spellEnd"/>
            <w:r w:rsidRPr="001A76F5">
              <w:rPr>
                <w:rFonts w:asciiTheme="minorHAnsi" w:hAnsiTheme="minorHAnsi" w:cstheme="minorHAnsi"/>
              </w:rPr>
              <w:t xml:space="preserve"> и липсва ясна </w:t>
            </w:r>
            <w:proofErr w:type="spellStart"/>
            <w:r w:rsidRPr="001A76F5">
              <w:rPr>
                <w:rFonts w:asciiTheme="minorHAnsi" w:hAnsiTheme="minorHAnsi" w:cstheme="minorHAnsi"/>
              </w:rPr>
              <w:t>фокусираност</w:t>
            </w:r>
            <w:proofErr w:type="spellEnd"/>
            <w:r w:rsidRPr="001A76F5">
              <w:rPr>
                <w:rFonts w:asciiTheme="minorHAnsi" w:hAnsiTheme="minorHAnsi" w:cstheme="minorHAnsi"/>
              </w:rPr>
              <w:t xml:space="preserve"> върху уязвимите групи и профилиране на определените целеви групи, което лишава планирането от възможност за определяне на ясна последователност от действия при преодоляване на проблемите и обвързване на изпълнението с конкретни срокове и ясни и измерими резултати. Това, от своя страна, затруднява адекватното планиране на конкретни дейности в правилната последователност и оценката на ефекта от изпълнението им и не осигурява предприемане на необходимите действия за промяна в изпълнението в случай на необходимост.</w:t>
            </w:r>
          </w:p>
          <w:p w14:paraId="6E736F3F" w14:textId="5AEBAE09"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Плановете за действие за изпълнение на Националната стратегия за намаляване на бедността и насърчаване на социалното включване 2020 са разработени от междуведомствена работна група, като при приемането на два от тях има сериозни закъснения.</w:t>
            </w:r>
          </w:p>
          <w:p w14:paraId="1E80837C" w14:textId="7863CD2F"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Националната стратегия за намаляване на бедността и насърчаване на социалното включване 2020 не е актуализирана за целия си 7 годишен период на изпълнение, въпреки че степента на постигане на националната цел за намаляване на бедността показва сериозно изоставане и необходимост от промяна в планирането на мерките и дейности за борба с бедността.</w:t>
            </w:r>
          </w:p>
          <w:p w14:paraId="27C38447" w14:textId="3DF096D7"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Не е създадена цялостна и надеждна система от индикатори за измерване на изпълнението на политиката за намаляване на бедността.</w:t>
            </w:r>
          </w:p>
          <w:p w14:paraId="51D79ABC" w14:textId="66676D43"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Системата за събиране на отчетни данни и информация не е организирана по начин, който да осигурява единство в подхода на отчитане и пълна информация по всички индикатори за изпълнение.</w:t>
            </w:r>
          </w:p>
          <w:p w14:paraId="28D798FB" w14:textId="7C0E006A"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През одитирания период не са извършвани оценки на въздействието от изпълнението на мерките за борба с бедността, като не е анализирано и оценявано влиянието на влошаващата се демографска структура и миграцията върху индикаторите за бедност и социално включване и постигането на заложените цели.</w:t>
            </w:r>
          </w:p>
          <w:p w14:paraId="4032DA18" w14:textId="72D3C2A9" w:rsidR="001A76F5"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На този етап от изпълнението на Националната програма за развитие: България 2020 и Националната стратегия за намаляване на бедността и насърчаване на социалното включване 2020 се очаква да има сериозен напредък при постигането на националната цел и съответно на четирите специфични подцели към нея, но видно от последните статистически данни националната цел е постигната едва на една трета – 31,27 на сто. Прогнозата показва, че при запазване на тази тенденция до 2020 г. националната цел за намаляване на броя на живеещите в бедност няма да бъде постигната дори наполовина, въпреки тежката демографска криза и драстичното намаляване на населението.</w:t>
            </w:r>
          </w:p>
          <w:p w14:paraId="58A738A3" w14:textId="764D44D9" w:rsidR="00E3679A" w:rsidRPr="001A76F5" w:rsidRDefault="001A76F5" w:rsidP="00CD13DC">
            <w:pPr>
              <w:pStyle w:val="ListParagraph"/>
              <w:numPr>
                <w:ilvl w:val="0"/>
                <w:numId w:val="19"/>
              </w:numPr>
              <w:spacing w:before="120"/>
              <w:contextualSpacing w:val="0"/>
              <w:jc w:val="both"/>
              <w:rPr>
                <w:rFonts w:asciiTheme="minorHAnsi" w:hAnsiTheme="minorHAnsi" w:cstheme="minorHAnsi"/>
              </w:rPr>
            </w:pPr>
            <w:r w:rsidRPr="001A76F5">
              <w:rPr>
                <w:rFonts w:asciiTheme="minorHAnsi" w:hAnsiTheme="minorHAnsi" w:cstheme="minorHAnsi"/>
              </w:rPr>
              <w:t>Степента на постигане на три от специфичните подцели също не е обнадеждаваща.</w:t>
            </w:r>
          </w:p>
        </w:tc>
      </w:tr>
    </w:tbl>
    <w:p w14:paraId="56A45AD2" w14:textId="77777777" w:rsidR="00E3679A" w:rsidRPr="00950C07" w:rsidRDefault="00E3679A" w:rsidP="00CD13DC">
      <w:pPr>
        <w:spacing w:before="120" w:after="0" w:line="240" w:lineRule="auto"/>
        <w:rPr>
          <w:rFonts w:cstheme="minorHAnsi"/>
        </w:rPr>
      </w:pPr>
    </w:p>
    <w:tbl>
      <w:tblPr>
        <w:tblStyle w:val="TableGrid"/>
        <w:tblW w:w="932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none" w:sz="0" w:space="0" w:color="auto"/>
        </w:tblBorders>
        <w:tblLook w:val="04A0" w:firstRow="1" w:lastRow="0" w:firstColumn="1" w:lastColumn="0" w:noHBand="0" w:noVBand="1"/>
      </w:tblPr>
      <w:tblGrid>
        <w:gridCol w:w="3794"/>
        <w:gridCol w:w="2551"/>
        <w:gridCol w:w="851"/>
        <w:gridCol w:w="2126"/>
      </w:tblGrid>
      <w:tr w:rsidR="00E3679A" w:rsidRPr="00950C07" w14:paraId="3F2ECA05" w14:textId="77777777" w:rsidTr="007A7EAB">
        <w:trPr>
          <w:trHeight w:val="742"/>
        </w:trPr>
        <w:tc>
          <w:tcPr>
            <w:tcW w:w="7196" w:type="dxa"/>
            <w:gridSpan w:val="3"/>
            <w:vAlign w:val="center"/>
          </w:tcPr>
          <w:p w14:paraId="7A3CFDE8" w14:textId="34FC83B1" w:rsidR="00E3679A" w:rsidRPr="00950C07" w:rsidRDefault="00B654E2" w:rsidP="00CD13DC">
            <w:pPr>
              <w:spacing w:before="120"/>
              <w:jc w:val="center"/>
              <w:rPr>
                <w:rFonts w:asciiTheme="minorHAnsi" w:hAnsiTheme="minorHAnsi" w:cstheme="minorHAnsi"/>
                <w:b/>
              </w:rPr>
            </w:pPr>
            <w:r w:rsidRPr="00B654E2">
              <w:rPr>
                <w:rFonts w:asciiTheme="minorHAnsi" w:hAnsiTheme="minorHAnsi" w:cstheme="minorHAnsi"/>
                <w:b/>
              </w:rPr>
              <w:t>Опазване и поддържане на обекти на архитектурното наследство в градска среда</w:t>
            </w:r>
          </w:p>
          <w:p w14:paraId="10E5A266" w14:textId="77777777" w:rsidR="00285F6A" w:rsidRPr="00950C07" w:rsidRDefault="00285F6A" w:rsidP="00CD13DC">
            <w:pPr>
              <w:spacing w:before="120"/>
              <w:jc w:val="center"/>
              <w:rPr>
                <w:rFonts w:asciiTheme="minorHAnsi" w:hAnsiTheme="minorHAnsi" w:cstheme="minorHAnsi"/>
                <w:b/>
                <w:i/>
              </w:rPr>
            </w:pPr>
            <w:r w:rsidRPr="00950C07">
              <w:rPr>
                <w:rFonts w:asciiTheme="minorHAnsi" w:hAnsiTheme="minorHAnsi" w:cstheme="minorHAnsi"/>
                <w:b/>
                <w:i/>
              </w:rPr>
              <w:t>Одит на изпълнението</w:t>
            </w:r>
          </w:p>
          <w:p w14:paraId="56B8E06A" w14:textId="77777777" w:rsidR="00B654E2" w:rsidRDefault="00B654E2" w:rsidP="00CD13DC">
            <w:pPr>
              <w:spacing w:before="120"/>
              <w:rPr>
                <w:rFonts w:asciiTheme="minorHAnsi" w:hAnsiTheme="minorHAnsi" w:cstheme="minorHAnsi"/>
              </w:rPr>
            </w:pPr>
            <w:r w:rsidRPr="00B654E2">
              <w:rPr>
                <w:rFonts w:asciiTheme="minorHAnsi" w:hAnsiTheme="minorHAnsi" w:cstheme="minorHAnsi"/>
              </w:rPr>
              <w:t xml:space="preserve">Предмет на одита са създадените условия за изпълнение на дейностите по опазване и поддържане на недвижими културни ценности – архитектурни обекти; дейностите по идентифициране, деклариране и предоставяне на статут; извършваният мониторинг на недвижими културни ценности – архитектурни обекти в градска среда и контролът на дейностите по опазване на културното наследство. </w:t>
            </w:r>
          </w:p>
          <w:p w14:paraId="460FF749" w14:textId="1842D382"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Ведомство:</w:t>
            </w:r>
          </w:p>
          <w:p w14:paraId="2E4FEE55" w14:textId="42440D0C" w:rsidR="00B654E2" w:rsidRDefault="00B654E2" w:rsidP="00CD13DC">
            <w:pPr>
              <w:spacing w:before="120"/>
              <w:rPr>
                <w:rFonts w:asciiTheme="minorHAnsi" w:hAnsiTheme="minorHAnsi" w:cstheme="minorHAnsi"/>
              </w:rPr>
            </w:pPr>
            <w:r>
              <w:rPr>
                <w:rFonts w:asciiTheme="minorHAnsi" w:hAnsiTheme="minorHAnsi" w:cstheme="minorHAnsi"/>
              </w:rPr>
              <w:t>Министерство на културата</w:t>
            </w:r>
          </w:p>
          <w:p w14:paraId="6D8E8AE7" w14:textId="038C095D" w:rsidR="00E3679A" w:rsidRPr="00950C07" w:rsidRDefault="00B654E2" w:rsidP="00CD13DC">
            <w:pPr>
              <w:spacing w:before="120"/>
              <w:rPr>
                <w:rFonts w:asciiTheme="minorHAnsi" w:hAnsiTheme="minorHAnsi" w:cstheme="minorHAnsi"/>
              </w:rPr>
            </w:pPr>
            <w:r w:rsidRPr="00B654E2">
              <w:rPr>
                <w:rFonts w:asciiTheme="minorHAnsi" w:hAnsiTheme="minorHAnsi" w:cstheme="minorHAnsi"/>
              </w:rPr>
              <w:t>Национален институт за недвижимо културно наследство</w:t>
            </w:r>
          </w:p>
        </w:tc>
        <w:tc>
          <w:tcPr>
            <w:tcW w:w="2126" w:type="dxa"/>
            <w:vAlign w:val="center"/>
          </w:tcPr>
          <w:p w14:paraId="1073A287" w14:textId="77777777" w:rsidR="00E3679A" w:rsidRPr="00950C07" w:rsidRDefault="00E3679A" w:rsidP="00CD13DC">
            <w:pPr>
              <w:spacing w:before="120"/>
              <w:jc w:val="center"/>
              <w:rPr>
                <w:rFonts w:asciiTheme="minorHAnsi" w:hAnsiTheme="minorHAnsi" w:cstheme="minorHAnsi"/>
                <w:color w:val="C0504D" w:themeColor="accent2"/>
                <w:sz w:val="22"/>
                <w:szCs w:val="22"/>
              </w:rPr>
            </w:pPr>
            <w:r w:rsidRPr="00950C07">
              <w:rPr>
                <w:rFonts w:asciiTheme="minorHAnsi" w:hAnsiTheme="minorHAnsi" w:cstheme="minorHAnsi"/>
                <w:b/>
                <w:color w:val="C0504D" w:themeColor="accent2"/>
                <w:sz w:val="22"/>
                <w:szCs w:val="22"/>
              </w:rPr>
              <w:t>ПРОВАЛ</w:t>
            </w:r>
          </w:p>
        </w:tc>
      </w:tr>
      <w:tr w:rsidR="00E3679A" w:rsidRPr="00950C07" w14:paraId="091DF999" w14:textId="77777777" w:rsidTr="007A7EAB">
        <w:trPr>
          <w:trHeight w:val="742"/>
        </w:trPr>
        <w:tc>
          <w:tcPr>
            <w:tcW w:w="3794" w:type="dxa"/>
          </w:tcPr>
          <w:p w14:paraId="0108E568"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Обхват на одита:</w:t>
            </w:r>
          </w:p>
          <w:p w14:paraId="4D55741D" w14:textId="1EF20455" w:rsidR="00E3679A" w:rsidRPr="00950C07" w:rsidRDefault="00E3679A" w:rsidP="00CD13DC">
            <w:pPr>
              <w:spacing w:before="120"/>
              <w:rPr>
                <w:rFonts w:asciiTheme="minorHAnsi" w:hAnsiTheme="minorHAnsi" w:cstheme="minorHAnsi"/>
                <w:color w:val="9BBB59" w:themeColor="accent3"/>
              </w:rPr>
            </w:pPr>
            <w:r w:rsidRPr="00950C07">
              <w:rPr>
                <w:rFonts w:asciiTheme="minorHAnsi" w:hAnsiTheme="minorHAnsi" w:cstheme="minorHAnsi"/>
              </w:rPr>
              <w:t>01.0</w:t>
            </w:r>
            <w:r w:rsidR="003A7BBA" w:rsidRPr="00950C07">
              <w:rPr>
                <w:rFonts w:asciiTheme="minorHAnsi" w:hAnsiTheme="minorHAnsi" w:cstheme="minorHAnsi"/>
              </w:rPr>
              <w:t>1</w:t>
            </w:r>
            <w:r w:rsidRPr="00950C07">
              <w:rPr>
                <w:rFonts w:asciiTheme="minorHAnsi" w:hAnsiTheme="minorHAnsi" w:cstheme="minorHAnsi"/>
              </w:rPr>
              <w:t>.201</w:t>
            </w:r>
            <w:r w:rsidR="00B654E2">
              <w:rPr>
                <w:rFonts w:asciiTheme="minorHAnsi" w:hAnsiTheme="minorHAnsi" w:cstheme="minorHAnsi"/>
              </w:rPr>
              <w:t>5</w:t>
            </w:r>
            <w:r w:rsidRPr="00950C07">
              <w:rPr>
                <w:rFonts w:asciiTheme="minorHAnsi" w:hAnsiTheme="minorHAnsi" w:cstheme="minorHAnsi"/>
              </w:rPr>
              <w:t xml:space="preserve"> г. - 3</w:t>
            </w:r>
            <w:r w:rsidR="00B654E2">
              <w:rPr>
                <w:rFonts w:asciiTheme="minorHAnsi" w:hAnsiTheme="minorHAnsi" w:cstheme="minorHAnsi"/>
              </w:rPr>
              <w:t>0</w:t>
            </w:r>
            <w:r w:rsidRPr="00950C07">
              <w:rPr>
                <w:rFonts w:asciiTheme="minorHAnsi" w:hAnsiTheme="minorHAnsi" w:cstheme="minorHAnsi"/>
              </w:rPr>
              <w:t>.</w:t>
            </w:r>
            <w:r w:rsidR="00B654E2">
              <w:rPr>
                <w:rFonts w:asciiTheme="minorHAnsi" w:hAnsiTheme="minorHAnsi" w:cstheme="minorHAnsi"/>
              </w:rPr>
              <w:t>06</w:t>
            </w:r>
            <w:r w:rsidRPr="00950C07">
              <w:rPr>
                <w:rFonts w:asciiTheme="minorHAnsi" w:hAnsiTheme="minorHAnsi" w:cstheme="minorHAnsi"/>
              </w:rPr>
              <w:t>.201</w:t>
            </w:r>
            <w:r w:rsidR="008F562C">
              <w:rPr>
                <w:rFonts w:asciiTheme="minorHAnsi" w:hAnsiTheme="minorHAnsi" w:cstheme="minorHAnsi"/>
              </w:rPr>
              <w:t>8</w:t>
            </w:r>
            <w:r w:rsidRPr="00950C07">
              <w:rPr>
                <w:rFonts w:asciiTheme="minorHAnsi" w:hAnsiTheme="minorHAnsi" w:cstheme="minorHAnsi"/>
              </w:rPr>
              <w:t xml:space="preserve"> г.</w:t>
            </w:r>
          </w:p>
        </w:tc>
        <w:tc>
          <w:tcPr>
            <w:tcW w:w="2551" w:type="dxa"/>
          </w:tcPr>
          <w:p w14:paraId="62545241" w14:textId="77777777" w:rsidR="00E3679A" w:rsidRPr="00950C07" w:rsidRDefault="00E3679A" w:rsidP="00CD13DC">
            <w:pPr>
              <w:spacing w:before="120"/>
              <w:rPr>
                <w:rFonts w:asciiTheme="minorHAnsi" w:hAnsiTheme="minorHAnsi" w:cstheme="minorHAnsi"/>
                <w:b/>
              </w:rPr>
            </w:pPr>
            <w:r w:rsidRPr="00950C07">
              <w:rPr>
                <w:rFonts w:asciiTheme="minorHAnsi" w:hAnsiTheme="minorHAnsi" w:cstheme="minorHAnsi"/>
                <w:b/>
              </w:rPr>
              <w:t>Общо разходи:</w:t>
            </w:r>
          </w:p>
          <w:p w14:paraId="57E4651F" w14:textId="33F2DB9E" w:rsidR="00E3679A" w:rsidRPr="00950C07" w:rsidRDefault="00575261" w:rsidP="00CD13DC">
            <w:pPr>
              <w:spacing w:before="120"/>
              <w:rPr>
                <w:rFonts w:asciiTheme="minorHAnsi" w:hAnsiTheme="minorHAnsi" w:cstheme="minorHAnsi"/>
                <w:color w:val="C00000"/>
              </w:rPr>
            </w:pPr>
            <w:r>
              <w:rPr>
                <w:rFonts w:asciiTheme="minorHAnsi" w:hAnsiTheme="minorHAnsi" w:cstheme="minorHAnsi"/>
                <w:color w:val="000000"/>
              </w:rPr>
              <w:t>88 697 000</w:t>
            </w:r>
            <w:r w:rsidR="00E3679A" w:rsidRPr="00950C07">
              <w:rPr>
                <w:rFonts w:asciiTheme="minorHAnsi" w:hAnsiTheme="minorHAnsi" w:cstheme="minorHAnsi"/>
              </w:rPr>
              <w:t xml:space="preserve"> лв.</w:t>
            </w:r>
          </w:p>
        </w:tc>
        <w:tc>
          <w:tcPr>
            <w:tcW w:w="2977" w:type="dxa"/>
            <w:gridSpan w:val="2"/>
          </w:tcPr>
          <w:p w14:paraId="70084A79" w14:textId="23379203" w:rsidR="00E3679A" w:rsidRPr="00950C07" w:rsidRDefault="005B287A" w:rsidP="00CD13DC">
            <w:pPr>
              <w:spacing w:before="120"/>
              <w:rPr>
                <w:rFonts w:asciiTheme="minorHAnsi" w:hAnsiTheme="minorHAnsi" w:cstheme="minorHAnsi"/>
                <w:b/>
                <w:color w:val="C0504D" w:themeColor="accent2"/>
                <w:u w:val="single"/>
              </w:rPr>
            </w:pPr>
            <w:hyperlink r:id="rId47" w:history="1">
              <w:r w:rsidR="00E3679A" w:rsidRPr="00950C07">
                <w:rPr>
                  <w:rStyle w:val="Hyperlink"/>
                  <w:rFonts w:asciiTheme="minorHAnsi" w:hAnsiTheme="minorHAnsi" w:cstheme="minorHAnsi"/>
                  <w:b/>
                  <w:color w:val="C0504D" w:themeColor="accent2"/>
                </w:rPr>
                <w:t>Доклад на Сметната палата</w:t>
              </w:r>
            </w:hyperlink>
          </w:p>
        </w:tc>
      </w:tr>
      <w:tr w:rsidR="00E3679A" w:rsidRPr="00950C07" w14:paraId="524C8339" w14:textId="77777777" w:rsidTr="007A7EAB">
        <w:tc>
          <w:tcPr>
            <w:tcW w:w="9322" w:type="dxa"/>
            <w:gridSpan w:val="4"/>
            <w:shd w:val="clear" w:color="auto" w:fill="D99594" w:themeFill="accent2" w:themeFillTint="99"/>
          </w:tcPr>
          <w:p w14:paraId="5DFD1CF3" w14:textId="77777777" w:rsidR="00E3679A" w:rsidRPr="00950C07" w:rsidRDefault="00E3679A" w:rsidP="00CD13DC">
            <w:pPr>
              <w:spacing w:before="120"/>
              <w:rPr>
                <w:rFonts w:asciiTheme="minorHAnsi" w:hAnsiTheme="minorHAnsi" w:cstheme="minorHAnsi"/>
                <w:b/>
                <w:color w:val="000000" w:themeColor="text1"/>
              </w:rPr>
            </w:pPr>
            <w:r w:rsidRPr="00950C07">
              <w:rPr>
                <w:rFonts w:asciiTheme="minorHAnsi" w:hAnsiTheme="minorHAnsi" w:cstheme="minorHAnsi"/>
                <w:b/>
                <w:color w:val="000000" w:themeColor="text1"/>
              </w:rPr>
              <w:t>Причини:</w:t>
            </w:r>
          </w:p>
        </w:tc>
      </w:tr>
      <w:tr w:rsidR="00E3679A" w:rsidRPr="00950C07" w14:paraId="5623D376" w14:textId="77777777" w:rsidTr="008A7FD3">
        <w:trPr>
          <w:trHeight w:val="426"/>
        </w:trPr>
        <w:tc>
          <w:tcPr>
            <w:tcW w:w="9322" w:type="dxa"/>
            <w:gridSpan w:val="4"/>
          </w:tcPr>
          <w:p w14:paraId="58E8F156" w14:textId="4258E6D7" w:rsidR="00B654E2" w:rsidRPr="00B654E2" w:rsidRDefault="00B654E2" w:rsidP="00CD13DC">
            <w:pPr>
              <w:spacing w:before="120"/>
              <w:jc w:val="both"/>
              <w:rPr>
                <w:rFonts w:asciiTheme="minorHAnsi" w:eastAsiaTheme="minorHAnsi" w:hAnsiTheme="minorHAnsi" w:cstheme="minorHAnsi"/>
              </w:rPr>
            </w:pPr>
            <w:r w:rsidRPr="00B654E2">
              <w:rPr>
                <w:rFonts w:asciiTheme="minorHAnsi" w:hAnsiTheme="minorHAnsi" w:cstheme="minorHAnsi"/>
              </w:rPr>
              <w:t xml:space="preserve">Дейностите по опазване и поддържане на обектите на архитектурно наследство в градска среда, извършвани от Министерство на културата и от Националния институт за недвижимо културно наследство, не са ефективни и ефикасни, заради. </w:t>
            </w:r>
          </w:p>
          <w:p w14:paraId="15645138" w14:textId="6DBAF675" w:rsidR="00B654E2" w:rsidRPr="00B654E2" w:rsidRDefault="00B654E2" w:rsidP="00CD13DC">
            <w:pPr>
              <w:pStyle w:val="ListParagraph"/>
              <w:numPr>
                <w:ilvl w:val="0"/>
                <w:numId w:val="20"/>
              </w:numPr>
              <w:spacing w:before="120"/>
              <w:contextualSpacing w:val="0"/>
              <w:jc w:val="both"/>
              <w:rPr>
                <w:rFonts w:asciiTheme="minorHAnsi" w:hAnsiTheme="minorHAnsi" w:cstheme="minorHAnsi"/>
              </w:rPr>
            </w:pPr>
            <w:r w:rsidRPr="00B654E2">
              <w:rPr>
                <w:rFonts w:asciiTheme="minorHAnsi" w:hAnsiTheme="minorHAnsi" w:cstheme="minorHAnsi"/>
              </w:rPr>
              <w:t xml:space="preserve">Липса на стратегически документи за културния сектор, </w:t>
            </w:r>
          </w:p>
          <w:p w14:paraId="6F6B71BC" w14:textId="77777777" w:rsidR="00B654E2" w:rsidRPr="00B654E2" w:rsidRDefault="00B654E2" w:rsidP="00CD13DC">
            <w:pPr>
              <w:pStyle w:val="ListParagraph"/>
              <w:numPr>
                <w:ilvl w:val="0"/>
                <w:numId w:val="20"/>
              </w:numPr>
              <w:spacing w:before="120"/>
              <w:contextualSpacing w:val="0"/>
              <w:jc w:val="both"/>
              <w:rPr>
                <w:rFonts w:asciiTheme="minorHAnsi" w:hAnsiTheme="minorHAnsi" w:cstheme="minorHAnsi"/>
              </w:rPr>
            </w:pPr>
            <w:r w:rsidRPr="00B654E2">
              <w:rPr>
                <w:rFonts w:asciiTheme="minorHAnsi" w:hAnsiTheme="minorHAnsi" w:cstheme="minorHAnsi"/>
              </w:rPr>
              <w:t>липса на добро управление на дейностите по опазване на недвижимото културно наследство,</w:t>
            </w:r>
          </w:p>
          <w:p w14:paraId="64E0BEEA" w14:textId="77777777" w:rsidR="00B654E2" w:rsidRPr="00B654E2" w:rsidRDefault="00B654E2" w:rsidP="00CD13DC">
            <w:pPr>
              <w:pStyle w:val="ListParagraph"/>
              <w:numPr>
                <w:ilvl w:val="0"/>
                <w:numId w:val="20"/>
              </w:numPr>
              <w:spacing w:before="120"/>
              <w:contextualSpacing w:val="0"/>
              <w:jc w:val="both"/>
              <w:rPr>
                <w:rFonts w:asciiTheme="minorHAnsi" w:hAnsiTheme="minorHAnsi" w:cstheme="minorHAnsi"/>
              </w:rPr>
            </w:pPr>
            <w:r w:rsidRPr="00B654E2">
              <w:rPr>
                <w:rFonts w:asciiTheme="minorHAnsi" w:hAnsiTheme="minorHAnsi" w:cstheme="minorHAnsi"/>
              </w:rPr>
              <w:t xml:space="preserve">недобра регламентация на дейностите, </w:t>
            </w:r>
          </w:p>
          <w:p w14:paraId="5651D950" w14:textId="77777777" w:rsidR="00B654E2" w:rsidRPr="00B654E2" w:rsidRDefault="00B654E2" w:rsidP="00CD13DC">
            <w:pPr>
              <w:pStyle w:val="ListParagraph"/>
              <w:numPr>
                <w:ilvl w:val="0"/>
                <w:numId w:val="20"/>
              </w:numPr>
              <w:spacing w:before="120"/>
              <w:contextualSpacing w:val="0"/>
              <w:jc w:val="both"/>
              <w:rPr>
                <w:rFonts w:asciiTheme="minorHAnsi" w:hAnsiTheme="minorHAnsi" w:cstheme="minorHAnsi"/>
              </w:rPr>
            </w:pPr>
            <w:proofErr w:type="spellStart"/>
            <w:r w:rsidRPr="00B654E2">
              <w:rPr>
                <w:rFonts w:asciiTheme="minorHAnsi" w:hAnsiTheme="minorHAnsi" w:cstheme="minorHAnsi"/>
              </w:rPr>
              <w:t>неосигуряване</w:t>
            </w:r>
            <w:proofErr w:type="spellEnd"/>
            <w:r w:rsidRPr="00B654E2">
              <w:rPr>
                <w:rFonts w:asciiTheme="minorHAnsi" w:hAnsiTheme="minorHAnsi" w:cstheme="minorHAnsi"/>
              </w:rPr>
              <w:t xml:space="preserve"> на необходимите ресурси за изпълнение на дейностите в пълен обем и изпълнението на част от тях в силно ограничени обеми, </w:t>
            </w:r>
          </w:p>
          <w:p w14:paraId="66871E1F" w14:textId="77777777" w:rsidR="00B654E2" w:rsidRPr="00B654E2" w:rsidRDefault="00B654E2" w:rsidP="00CD13DC">
            <w:pPr>
              <w:pStyle w:val="ListParagraph"/>
              <w:numPr>
                <w:ilvl w:val="0"/>
                <w:numId w:val="20"/>
              </w:numPr>
              <w:spacing w:before="120"/>
              <w:contextualSpacing w:val="0"/>
              <w:jc w:val="both"/>
              <w:rPr>
                <w:rFonts w:asciiTheme="minorHAnsi" w:hAnsiTheme="minorHAnsi" w:cstheme="minorHAnsi"/>
              </w:rPr>
            </w:pPr>
            <w:r w:rsidRPr="00B654E2">
              <w:rPr>
                <w:rFonts w:asciiTheme="minorHAnsi" w:hAnsiTheme="minorHAnsi" w:cstheme="minorHAnsi"/>
              </w:rPr>
              <w:t xml:space="preserve">липса на определени режими за опазване на над 90 на сто от недвижимите културни ценности, </w:t>
            </w:r>
          </w:p>
          <w:p w14:paraId="164E551C" w14:textId="6D0C6530" w:rsidR="00E3679A" w:rsidRPr="00B654E2" w:rsidRDefault="00B654E2" w:rsidP="00CD13DC">
            <w:pPr>
              <w:pStyle w:val="ListParagraph"/>
              <w:numPr>
                <w:ilvl w:val="0"/>
                <w:numId w:val="20"/>
              </w:numPr>
              <w:spacing w:before="120"/>
              <w:contextualSpacing w:val="0"/>
              <w:jc w:val="both"/>
              <w:rPr>
                <w:rFonts w:asciiTheme="minorHAnsi" w:hAnsiTheme="minorHAnsi" w:cstheme="minorHAnsi"/>
              </w:rPr>
            </w:pPr>
            <w:r w:rsidRPr="00B654E2">
              <w:rPr>
                <w:rFonts w:asciiTheme="minorHAnsi" w:hAnsiTheme="minorHAnsi" w:cstheme="minorHAnsi"/>
              </w:rPr>
              <w:t>недобра координация и взаимодействие между органите и лицата, част от Националната система за опазване на недвижимото културно наследство.</w:t>
            </w:r>
          </w:p>
        </w:tc>
      </w:tr>
    </w:tbl>
    <w:p w14:paraId="4F984779" w14:textId="79E5E730" w:rsidR="004D2C2C" w:rsidRPr="00950C07" w:rsidRDefault="004D2C2C" w:rsidP="00CD13DC">
      <w:pPr>
        <w:spacing w:before="120" w:after="0" w:line="240" w:lineRule="auto"/>
        <w:rPr>
          <w:rFonts w:cstheme="minorHAnsi"/>
        </w:rPr>
      </w:pPr>
      <w:bookmarkStart w:id="37" w:name="_Toc356652897"/>
    </w:p>
    <w:p w14:paraId="3F5D27A3" w14:textId="77777777" w:rsidR="00B44ED6" w:rsidRDefault="00B44ED6" w:rsidP="00CD13DC">
      <w:pPr>
        <w:spacing w:before="120" w:after="0" w:line="240" w:lineRule="auto"/>
        <w:rPr>
          <w:rFonts w:eastAsia="Times New Roman" w:cstheme="minorHAnsi"/>
          <w:b/>
          <w:color w:val="FFFFFF" w:themeColor="background1"/>
          <w:sz w:val="28"/>
          <w:szCs w:val="28"/>
          <w:lang w:eastAsia="en-US"/>
        </w:rPr>
      </w:pPr>
      <w:r>
        <w:rPr>
          <w:rFonts w:cstheme="minorHAnsi"/>
          <w:color w:val="FFFFFF" w:themeColor="background1"/>
          <w:szCs w:val="28"/>
        </w:rPr>
        <w:br w:type="page"/>
      </w:r>
    </w:p>
    <w:p w14:paraId="1D17ED67" w14:textId="716C7ADD" w:rsidR="007F7703" w:rsidRPr="008861B6" w:rsidRDefault="007F7703" w:rsidP="00CD13DC">
      <w:pPr>
        <w:shd w:val="clear" w:color="auto" w:fill="808080" w:themeFill="background1" w:themeFillShade="80"/>
        <w:spacing w:before="120" w:after="0" w:line="240" w:lineRule="auto"/>
        <w:rPr>
          <w:b/>
          <w:color w:val="FFFFFF" w:themeColor="background1"/>
        </w:rPr>
      </w:pPr>
      <w:bookmarkStart w:id="38" w:name="_Toc316386075"/>
      <w:bookmarkStart w:id="39" w:name="_Toc356652898"/>
      <w:bookmarkStart w:id="40" w:name="_Toc216178134"/>
      <w:bookmarkStart w:id="41" w:name="_Toc279481464"/>
      <w:bookmarkStart w:id="42" w:name="_Toc279481539"/>
      <w:bookmarkStart w:id="43" w:name="_Toc279486953"/>
      <w:bookmarkStart w:id="44" w:name="_Toc279487208"/>
      <w:bookmarkStart w:id="45" w:name="_Toc279671285"/>
      <w:bookmarkStart w:id="46" w:name="_Toc279741588"/>
      <w:bookmarkStart w:id="47" w:name="_Toc282432587"/>
      <w:bookmarkStart w:id="48" w:name="_Toc285637044"/>
      <w:bookmarkEnd w:id="37"/>
      <w:r w:rsidRPr="008861B6">
        <w:rPr>
          <w:b/>
          <w:color w:val="FFFFFF" w:themeColor="background1"/>
        </w:rPr>
        <w:t>Приложение: Сметна палата на Република България</w:t>
      </w:r>
      <w:bookmarkEnd w:id="38"/>
      <w:bookmarkEnd w:id="39"/>
      <w:r w:rsidRPr="008861B6">
        <w:rPr>
          <w:b/>
          <w:color w:val="FFFFFF" w:themeColor="background1"/>
        </w:rPr>
        <w:t xml:space="preserve"> </w:t>
      </w:r>
      <w:bookmarkEnd w:id="40"/>
      <w:bookmarkEnd w:id="41"/>
      <w:bookmarkEnd w:id="42"/>
      <w:bookmarkEnd w:id="43"/>
      <w:bookmarkEnd w:id="44"/>
      <w:bookmarkEnd w:id="45"/>
      <w:bookmarkEnd w:id="46"/>
      <w:bookmarkEnd w:id="47"/>
      <w:bookmarkEnd w:id="48"/>
    </w:p>
    <w:p w14:paraId="39FB5C57" w14:textId="77777777" w:rsidR="003C73F9" w:rsidRPr="00CF1B05" w:rsidRDefault="003C73F9" w:rsidP="00CD13DC">
      <w:pPr>
        <w:pStyle w:val="Heading4"/>
        <w:spacing w:before="120" w:line="240" w:lineRule="auto"/>
        <w:jc w:val="both"/>
        <w:rPr>
          <w:rFonts w:asciiTheme="minorHAnsi" w:hAnsiTheme="minorHAnsi" w:cstheme="minorHAnsi"/>
          <w:b w:val="0"/>
          <w:color w:val="auto"/>
        </w:rPr>
      </w:pPr>
      <w:r w:rsidRPr="00CF1B05">
        <w:rPr>
          <w:rFonts w:asciiTheme="minorHAnsi" w:hAnsiTheme="minorHAnsi" w:cstheme="minorHAnsi"/>
          <w:b w:val="0"/>
          <w:color w:val="auto"/>
        </w:rPr>
        <w:t>Основна задача на Сметната палата е да контролира надеждността и достоверността на финансовите отчети на бюджетните организации, законосъобразното, ефективно, ефикасно и икономично управление на публичните средства и дейности, както и да предоставя на Народното събрание надеждна информация за това.</w:t>
      </w:r>
    </w:p>
    <w:p w14:paraId="7B1239DD" w14:textId="77777777" w:rsidR="007F7703" w:rsidRPr="00950C07" w:rsidRDefault="007F7703" w:rsidP="00CD13DC">
      <w:pPr>
        <w:pStyle w:val="Heading4"/>
        <w:spacing w:before="120" w:line="240" w:lineRule="auto"/>
        <w:jc w:val="both"/>
        <w:rPr>
          <w:rFonts w:asciiTheme="minorHAnsi" w:hAnsiTheme="minorHAnsi" w:cstheme="minorHAnsi"/>
          <w:b w:val="0"/>
          <w:i w:val="0"/>
          <w:color w:val="auto"/>
        </w:rPr>
      </w:pPr>
      <w:r w:rsidRPr="00950C07">
        <w:rPr>
          <w:rFonts w:asciiTheme="minorHAnsi" w:hAnsiTheme="minorHAnsi" w:cstheme="minorHAnsi"/>
          <w:b w:val="0"/>
          <w:i w:val="0"/>
          <w:color w:val="auto"/>
        </w:rPr>
        <w:t>Сметната палата на Република България първоначално е създадена със закон през 1880 г. като Върховна сметна палата на Република България. В този си вид тя съществува до 1947 г., когато нейната дейност се преустановява.</w:t>
      </w:r>
    </w:p>
    <w:p w14:paraId="0542BF56" w14:textId="77777777" w:rsidR="007F7703" w:rsidRPr="00950C07" w:rsidRDefault="007F7703" w:rsidP="00CD13DC">
      <w:pPr>
        <w:pStyle w:val="Heading4"/>
        <w:spacing w:before="120" w:line="240" w:lineRule="auto"/>
        <w:jc w:val="both"/>
        <w:rPr>
          <w:rFonts w:asciiTheme="minorHAnsi" w:hAnsiTheme="minorHAnsi" w:cstheme="minorHAnsi"/>
          <w:b w:val="0"/>
          <w:i w:val="0"/>
          <w:color w:val="auto"/>
        </w:rPr>
      </w:pPr>
      <w:r w:rsidRPr="00950C07">
        <w:rPr>
          <w:rFonts w:asciiTheme="minorHAnsi" w:hAnsiTheme="minorHAnsi" w:cstheme="minorHAnsi"/>
          <w:b w:val="0"/>
          <w:i w:val="0"/>
          <w:color w:val="auto"/>
        </w:rPr>
        <w:t xml:space="preserve">На 27 юли 1995 г. 37-то Народно събрание приема Закон за Сметната палата (ЗСП), с който се възстановяват функциите по бюджетен контрол в България. С нов закон от 4 декември 2001 г. се приема и новата нормативна уредба, която е в съответствие с международните одитни принципи и регламентите на Европейския съюз. Законът определя Сметната палата като държавен орган, контролиращ изпълнението на бюджета и други публични средства и дейности. Сметната палата е независима и има самостоятелен бюджет, който е част от републиканския бюджет на България. </w:t>
      </w:r>
    </w:p>
    <w:p w14:paraId="6CB2F705" w14:textId="77777777" w:rsidR="003C73F9" w:rsidRPr="00950C07" w:rsidRDefault="003C73F9" w:rsidP="00CD13DC">
      <w:pPr>
        <w:pStyle w:val="Heading4"/>
        <w:spacing w:before="120" w:line="240" w:lineRule="auto"/>
        <w:jc w:val="both"/>
        <w:rPr>
          <w:rFonts w:asciiTheme="minorHAnsi" w:hAnsiTheme="minorHAnsi" w:cstheme="minorHAnsi"/>
          <w:b w:val="0"/>
          <w:i w:val="0"/>
          <w:color w:val="auto"/>
        </w:rPr>
      </w:pPr>
      <w:r w:rsidRPr="00950C07">
        <w:rPr>
          <w:rFonts w:asciiTheme="minorHAnsi" w:hAnsiTheme="minorHAnsi" w:cstheme="minorHAnsi"/>
          <w:b w:val="0"/>
          <w:i w:val="0"/>
          <w:color w:val="auto"/>
        </w:rPr>
        <w:t>Сметната палата приема годишна програма за одитната си дейност. Народното събрание може със свое решение да възлага на Сметната палата да извършва до 5 одита годишно извън предвидените в годишната програма.</w:t>
      </w:r>
    </w:p>
    <w:p w14:paraId="28BB5E2C" w14:textId="77777777" w:rsidR="003629EB" w:rsidRPr="00950C07" w:rsidRDefault="007F7703" w:rsidP="00CD13DC">
      <w:pPr>
        <w:pStyle w:val="Heading4"/>
        <w:spacing w:before="120" w:line="240" w:lineRule="auto"/>
        <w:jc w:val="both"/>
        <w:rPr>
          <w:rFonts w:asciiTheme="minorHAnsi" w:hAnsiTheme="minorHAnsi" w:cstheme="minorHAnsi"/>
          <w:b w:val="0"/>
          <w:i w:val="0"/>
          <w:color w:val="auto"/>
        </w:rPr>
      </w:pPr>
      <w:r w:rsidRPr="00950C07">
        <w:rPr>
          <w:rFonts w:asciiTheme="minorHAnsi" w:hAnsiTheme="minorHAnsi" w:cstheme="minorHAnsi"/>
          <w:b w:val="0"/>
          <w:i w:val="0"/>
          <w:color w:val="auto"/>
        </w:rPr>
        <w:t>Сметната палата осъществява одит на</w:t>
      </w:r>
      <w:r w:rsidR="003629EB" w:rsidRPr="00950C07">
        <w:rPr>
          <w:rFonts w:asciiTheme="minorHAnsi" w:hAnsiTheme="minorHAnsi" w:cstheme="minorHAnsi"/>
          <w:b w:val="0"/>
          <w:i w:val="0"/>
          <w:color w:val="auto"/>
        </w:rPr>
        <w:t xml:space="preserve"> редица структури, разходи и дейности, сред които на</w:t>
      </w:r>
      <w:r w:rsidRPr="00950C07">
        <w:rPr>
          <w:rFonts w:asciiTheme="minorHAnsi" w:hAnsiTheme="minorHAnsi" w:cstheme="minorHAnsi"/>
          <w:b w:val="0"/>
          <w:i w:val="0"/>
          <w:color w:val="auto"/>
        </w:rPr>
        <w:t>:</w:t>
      </w:r>
      <w:r w:rsidR="003C73F9" w:rsidRPr="00950C07">
        <w:rPr>
          <w:rFonts w:asciiTheme="minorHAnsi" w:hAnsiTheme="minorHAnsi" w:cstheme="minorHAnsi"/>
        </w:rPr>
        <w:t xml:space="preserve"> </w:t>
      </w:r>
      <w:r w:rsidR="003C73F9" w:rsidRPr="00950C07">
        <w:rPr>
          <w:rFonts w:asciiTheme="minorHAnsi" w:hAnsiTheme="minorHAnsi" w:cstheme="minorHAnsi"/>
          <w:b w:val="0"/>
          <w:i w:val="0"/>
          <w:color w:val="auto"/>
        </w:rPr>
        <w:t>държавния бюджет;</w:t>
      </w:r>
      <w:r w:rsidR="003629EB" w:rsidRPr="00950C07">
        <w:rPr>
          <w:rFonts w:asciiTheme="minorHAnsi" w:hAnsiTheme="minorHAnsi" w:cstheme="minorHAnsi"/>
          <w:b w:val="0"/>
          <w:i w:val="0"/>
          <w:color w:val="auto"/>
        </w:rPr>
        <w:t xml:space="preserve"> </w:t>
      </w:r>
      <w:r w:rsidR="003C73F9" w:rsidRPr="00950C07">
        <w:rPr>
          <w:rFonts w:asciiTheme="minorHAnsi" w:hAnsiTheme="minorHAnsi" w:cstheme="minorHAnsi"/>
          <w:b w:val="0"/>
          <w:i w:val="0"/>
          <w:color w:val="auto"/>
        </w:rPr>
        <w:t>бюджета на държавното обществено осигуряване;</w:t>
      </w:r>
      <w:r w:rsidR="003629EB" w:rsidRPr="00950C07">
        <w:rPr>
          <w:rFonts w:asciiTheme="minorHAnsi" w:hAnsiTheme="minorHAnsi" w:cstheme="minorHAnsi"/>
          <w:b w:val="0"/>
          <w:i w:val="0"/>
          <w:color w:val="auto"/>
        </w:rPr>
        <w:t xml:space="preserve"> </w:t>
      </w:r>
      <w:r w:rsidR="003C73F9" w:rsidRPr="00950C07">
        <w:rPr>
          <w:rFonts w:asciiTheme="minorHAnsi" w:hAnsiTheme="minorHAnsi" w:cstheme="minorHAnsi"/>
          <w:b w:val="0"/>
          <w:i w:val="0"/>
          <w:color w:val="auto"/>
        </w:rPr>
        <w:t>бюджета на Националната здравноосигурителна каса;</w:t>
      </w:r>
      <w:r w:rsidR="003629EB" w:rsidRPr="00950C07">
        <w:rPr>
          <w:rFonts w:asciiTheme="minorHAnsi" w:hAnsiTheme="minorHAnsi" w:cstheme="minorHAnsi"/>
          <w:b w:val="0"/>
          <w:i w:val="0"/>
          <w:color w:val="auto"/>
        </w:rPr>
        <w:t xml:space="preserve"> </w:t>
      </w:r>
      <w:r w:rsidR="003C73F9" w:rsidRPr="00950C07">
        <w:rPr>
          <w:rFonts w:asciiTheme="minorHAnsi" w:hAnsiTheme="minorHAnsi" w:cstheme="minorHAnsi"/>
          <w:b w:val="0"/>
          <w:i w:val="0"/>
          <w:color w:val="auto"/>
        </w:rPr>
        <w:t>бюджетите на общините;</w:t>
      </w:r>
      <w:r w:rsidR="003629EB" w:rsidRPr="00950C07">
        <w:rPr>
          <w:rFonts w:asciiTheme="minorHAnsi" w:hAnsiTheme="minorHAnsi" w:cstheme="minorHAnsi"/>
          <w:b w:val="0"/>
          <w:i w:val="0"/>
          <w:color w:val="auto"/>
        </w:rPr>
        <w:t xml:space="preserve"> бюджетите на бюджетни организации; бюджетните средства, предоставяни на лица, осъществяващи стопанска дейност; бюджетните разходи на Българската народна банка (БНБ) и тяхното управление; възникването и управлението на държавния дълг; държавните предприятия.</w:t>
      </w:r>
      <w:bookmarkStart w:id="49" w:name="_Toc285637045"/>
      <w:bookmarkStart w:id="50" w:name="_Toc316386076"/>
      <w:bookmarkStart w:id="51" w:name="_Toc356652899"/>
    </w:p>
    <w:p w14:paraId="3718926E" w14:textId="77777777" w:rsidR="003629EB" w:rsidRPr="00950C07" w:rsidRDefault="003629EB" w:rsidP="00CD13DC">
      <w:pPr>
        <w:pStyle w:val="NormalWeb"/>
        <w:spacing w:before="120" w:beforeAutospacing="0" w:after="0" w:afterAutospacing="0"/>
        <w:jc w:val="both"/>
        <w:rPr>
          <w:rFonts w:asciiTheme="minorHAnsi" w:hAnsiTheme="minorHAnsi" w:cstheme="minorHAnsi"/>
          <w:sz w:val="22"/>
          <w:szCs w:val="22"/>
        </w:rPr>
      </w:pPr>
      <w:r w:rsidRPr="00950C07">
        <w:rPr>
          <w:rFonts w:asciiTheme="minorHAnsi" w:hAnsiTheme="minorHAnsi" w:cstheme="minorHAnsi"/>
          <w:sz w:val="22"/>
          <w:szCs w:val="22"/>
        </w:rPr>
        <w:t>Сметната палата извършва:</w:t>
      </w:r>
    </w:p>
    <w:p w14:paraId="44B654A3" w14:textId="2C2F0323" w:rsidR="003629EB" w:rsidRPr="004A4220" w:rsidRDefault="00E35C24" w:rsidP="00CD13DC">
      <w:pPr>
        <w:pStyle w:val="NormalWeb"/>
        <w:spacing w:before="120" w:beforeAutospacing="0" w:after="0" w:afterAutospacing="0"/>
        <w:jc w:val="both"/>
        <w:rPr>
          <w:rFonts w:asciiTheme="minorHAnsi" w:hAnsiTheme="minorHAnsi" w:cstheme="minorHAnsi"/>
          <w:sz w:val="22"/>
          <w:szCs w:val="22"/>
        </w:rPr>
      </w:pPr>
      <w:r w:rsidRPr="004A4220">
        <w:rPr>
          <w:rFonts w:asciiTheme="minorHAnsi" w:hAnsiTheme="minorHAnsi" w:cstheme="minorHAnsi"/>
          <w:sz w:val="22"/>
          <w:szCs w:val="22"/>
        </w:rPr>
        <w:t>1. финансови одити -</w:t>
      </w:r>
      <w:r w:rsidR="004A4220" w:rsidRPr="004A4220">
        <w:rPr>
          <w:rFonts w:asciiTheme="minorHAnsi" w:hAnsiTheme="minorHAnsi" w:cstheme="minorHAnsi"/>
          <w:sz w:val="22"/>
          <w:szCs w:val="22"/>
        </w:rPr>
        <w:t xml:space="preserve"> изразяване на независимо одитно мнение с разумна степен на сигурност дали годишният финансов отчет на бюджетната организация е изготвен във всички съществени аспекти в съответствие с приложимата обща рамка за финансово отчитане</w:t>
      </w:r>
      <w:r w:rsidRPr="004A4220">
        <w:rPr>
          <w:rFonts w:asciiTheme="minorHAnsi" w:hAnsiTheme="minorHAnsi" w:cstheme="minorHAnsi"/>
          <w:sz w:val="22"/>
          <w:szCs w:val="22"/>
        </w:rPr>
        <w:t>;</w:t>
      </w:r>
    </w:p>
    <w:p w14:paraId="21D9C06B" w14:textId="73A3680F" w:rsidR="003629EB" w:rsidRPr="004A4220" w:rsidRDefault="00E35C24" w:rsidP="00CD13DC">
      <w:pPr>
        <w:pStyle w:val="NormalWeb"/>
        <w:spacing w:before="120" w:beforeAutospacing="0" w:after="0" w:afterAutospacing="0"/>
        <w:jc w:val="both"/>
        <w:rPr>
          <w:rFonts w:asciiTheme="minorHAnsi" w:hAnsiTheme="minorHAnsi" w:cstheme="minorHAnsi"/>
          <w:sz w:val="22"/>
          <w:szCs w:val="22"/>
        </w:rPr>
      </w:pPr>
      <w:r w:rsidRPr="004A4220">
        <w:rPr>
          <w:rFonts w:asciiTheme="minorHAnsi" w:hAnsiTheme="minorHAnsi" w:cstheme="minorHAnsi"/>
          <w:sz w:val="22"/>
          <w:szCs w:val="22"/>
        </w:rPr>
        <w:t>2. одити за съответствие -</w:t>
      </w:r>
      <w:r w:rsidR="004A4220" w:rsidRPr="004A4220">
        <w:rPr>
          <w:rFonts w:asciiTheme="minorHAnsi" w:hAnsiTheme="minorHAnsi" w:cstheme="minorHAnsi"/>
          <w:sz w:val="22"/>
          <w:szCs w:val="22"/>
        </w:rPr>
        <w:t xml:space="preserve"> проверката на системите за финансово управление и контрол, включително на вътрешния одит и на управленските решения във връзка с организацията, планирането, управлението, отчитането и контрола на бюджетните и другите публични средства и дейности в одитираната организация с оглед на спазването на изискванията на нормативните актове, вътрешните актове и договорите</w:t>
      </w:r>
      <w:r w:rsidRPr="004A4220">
        <w:rPr>
          <w:rFonts w:asciiTheme="minorHAnsi" w:hAnsiTheme="minorHAnsi" w:cstheme="minorHAnsi"/>
          <w:sz w:val="22"/>
          <w:szCs w:val="22"/>
        </w:rPr>
        <w:t>;</w:t>
      </w:r>
    </w:p>
    <w:p w14:paraId="39B77C1F" w14:textId="54B7E6B1" w:rsidR="003629EB" w:rsidRPr="004A4220" w:rsidRDefault="003629EB" w:rsidP="00CD13DC">
      <w:pPr>
        <w:pStyle w:val="NormalWeb"/>
        <w:spacing w:before="120" w:beforeAutospacing="0" w:after="0" w:afterAutospacing="0"/>
        <w:jc w:val="both"/>
        <w:rPr>
          <w:rFonts w:asciiTheme="minorHAnsi" w:hAnsiTheme="minorHAnsi" w:cstheme="minorHAnsi"/>
          <w:sz w:val="22"/>
          <w:szCs w:val="22"/>
        </w:rPr>
      </w:pPr>
      <w:r w:rsidRPr="004A4220">
        <w:rPr>
          <w:rFonts w:asciiTheme="minorHAnsi" w:hAnsiTheme="minorHAnsi" w:cstheme="minorHAnsi"/>
          <w:sz w:val="22"/>
          <w:szCs w:val="22"/>
        </w:rPr>
        <w:t>3. одити на изпълнението</w:t>
      </w:r>
      <w:r w:rsidR="00E35C24" w:rsidRPr="004A4220">
        <w:rPr>
          <w:rFonts w:asciiTheme="minorHAnsi" w:hAnsiTheme="minorHAnsi" w:cstheme="minorHAnsi"/>
          <w:sz w:val="22"/>
          <w:szCs w:val="22"/>
        </w:rPr>
        <w:t xml:space="preserve"> -</w:t>
      </w:r>
      <w:r w:rsidR="004A4220" w:rsidRPr="004A4220">
        <w:rPr>
          <w:rFonts w:asciiTheme="minorHAnsi" w:hAnsiTheme="minorHAnsi" w:cstheme="minorHAnsi"/>
          <w:sz w:val="22"/>
          <w:szCs w:val="22"/>
        </w:rPr>
        <w:t xml:space="preserve"> проверката на дейностите по планиране, изпълнение и контрол на всички равнища на управление в одитирания обект с оглед на тяхната ефективност, ефикасност и икономичност</w:t>
      </w:r>
      <w:r w:rsidRPr="004A4220">
        <w:rPr>
          <w:rFonts w:asciiTheme="minorHAnsi" w:hAnsiTheme="minorHAnsi" w:cstheme="minorHAnsi"/>
          <w:sz w:val="22"/>
          <w:szCs w:val="22"/>
        </w:rPr>
        <w:t>;</w:t>
      </w:r>
    </w:p>
    <w:p w14:paraId="5646A614" w14:textId="2CD81041" w:rsidR="003C73F9" w:rsidRPr="004A4220" w:rsidRDefault="003629EB" w:rsidP="00CD13DC">
      <w:pPr>
        <w:pStyle w:val="NormalWeb"/>
        <w:spacing w:before="120" w:beforeAutospacing="0" w:after="0" w:afterAutospacing="0"/>
        <w:jc w:val="both"/>
        <w:rPr>
          <w:rFonts w:asciiTheme="minorHAnsi" w:hAnsiTheme="minorHAnsi" w:cstheme="minorHAnsi"/>
          <w:sz w:val="22"/>
          <w:szCs w:val="22"/>
        </w:rPr>
      </w:pPr>
      <w:r w:rsidRPr="004A4220">
        <w:rPr>
          <w:rFonts w:asciiTheme="minorHAnsi" w:hAnsiTheme="minorHAnsi" w:cstheme="minorHAnsi"/>
          <w:sz w:val="22"/>
          <w:szCs w:val="22"/>
        </w:rPr>
        <w:t>4. специфични одити</w:t>
      </w:r>
      <w:r w:rsidR="00E35C24" w:rsidRPr="004A4220">
        <w:rPr>
          <w:rFonts w:asciiTheme="minorHAnsi" w:hAnsiTheme="minorHAnsi" w:cstheme="minorHAnsi"/>
          <w:sz w:val="22"/>
          <w:szCs w:val="22"/>
        </w:rPr>
        <w:t xml:space="preserve"> -</w:t>
      </w:r>
      <w:r w:rsidR="004A4220" w:rsidRPr="004A4220">
        <w:rPr>
          <w:rFonts w:asciiTheme="minorHAnsi" w:hAnsiTheme="minorHAnsi" w:cstheme="minorHAnsi"/>
          <w:sz w:val="22"/>
          <w:szCs w:val="22"/>
        </w:rPr>
        <w:t xml:space="preserve"> одитите, извършвани при условията и по реда на специален закон. Те могат да бъдат комбинирани одити, които съчетават подходите за извършване на финансов одит, одит за съответствие и одит на изпълнение</w:t>
      </w:r>
      <w:r w:rsidRPr="004A4220">
        <w:rPr>
          <w:rFonts w:asciiTheme="minorHAnsi" w:hAnsiTheme="minorHAnsi" w:cstheme="minorHAnsi"/>
          <w:sz w:val="22"/>
          <w:szCs w:val="22"/>
        </w:rPr>
        <w:t>.</w:t>
      </w:r>
      <w:bookmarkEnd w:id="49"/>
      <w:bookmarkEnd w:id="50"/>
      <w:bookmarkEnd w:id="51"/>
    </w:p>
    <w:sectPr w:rsidR="003C73F9" w:rsidRPr="004A4220" w:rsidSect="00F925EA">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0D24" w14:textId="77777777" w:rsidR="007052FD" w:rsidRDefault="007052FD" w:rsidP="007F7703">
      <w:pPr>
        <w:spacing w:after="0" w:line="240" w:lineRule="auto"/>
      </w:pPr>
      <w:r>
        <w:separator/>
      </w:r>
    </w:p>
  </w:endnote>
  <w:endnote w:type="continuationSeparator" w:id="0">
    <w:p w14:paraId="0D723C5A" w14:textId="77777777" w:rsidR="007052FD" w:rsidRDefault="007052FD" w:rsidP="007F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797741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FBB2554" w14:textId="1BA4B6BA" w:rsidR="007052FD" w:rsidRPr="007D7029" w:rsidRDefault="007052FD" w:rsidP="007D7029">
            <w:pPr>
              <w:pStyle w:val="Footer"/>
              <w:jc w:val="right"/>
              <w:rPr>
                <w:sz w:val="18"/>
                <w:szCs w:val="18"/>
              </w:rPr>
            </w:pPr>
            <w:r w:rsidRPr="007D7029">
              <w:rPr>
                <w:sz w:val="18"/>
                <w:szCs w:val="18"/>
              </w:rPr>
              <w:t xml:space="preserve">Стр. </w:t>
            </w:r>
            <w:r w:rsidRPr="007D7029">
              <w:rPr>
                <w:b/>
                <w:bCs/>
                <w:sz w:val="18"/>
                <w:szCs w:val="18"/>
              </w:rPr>
              <w:fldChar w:fldCharType="begin"/>
            </w:r>
            <w:r w:rsidRPr="007D7029">
              <w:rPr>
                <w:b/>
                <w:bCs/>
                <w:sz w:val="18"/>
                <w:szCs w:val="18"/>
              </w:rPr>
              <w:instrText xml:space="preserve"> PAGE </w:instrText>
            </w:r>
            <w:r w:rsidRPr="007D7029">
              <w:rPr>
                <w:b/>
                <w:bCs/>
                <w:sz w:val="18"/>
                <w:szCs w:val="18"/>
              </w:rPr>
              <w:fldChar w:fldCharType="separate"/>
            </w:r>
            <w:r w:rsidR="005B287A">
              <w:rPr>
                <w:b/>
                <w:bCs/>
                <w:noProof/>
                <w:sz w:val="18"/>
                <w:szCs w:val="18"/>
              </w:rPr>
              <w:t>20</w:t>
            </w:r>
            <w:r w:rsidRPr="007D7029">
              <w:rPr>
                <w:b/>
                <w:bCs/>
                <w:sz w:val="18"/>
                <w:szCs w:val="18"/>
              </w:rPr>
              <w:fldChar w:fldCharType="end"/>
            </w:r>
            <w:r w:rsidRPr="007D7029">
              <w:rPr>
                <w:sz w:val="18"/>
                <w:szCs w:val="18"/>
              </w:rPr>
              <w:t xml:space="preserve"> от </w:t>
            </w:r>
            <w:r w:rsidRPr="007D7029">
              <w:rPr>
                <w:b/>
                <w:bCs/>
                <w:sz w:val="18"/>
                <w:szCs w:val="18"/>
              </w:rPr>
              <w:fldChar w:fldCharType="begin"/>
            </w:r>
            <w:r w:rsidRPr="007D7029">
              <w:rPr>
                <w:b/>
                <w:bCs/>
                <w:sz w:val="18"/>
                <w:szCs w:val="18"/>
              </w:rPr>
              <w:instrText xml:space="preserve"> NUMPAGES  </w:instrText>
            </w:r>
            <w:r w:rsidRPr="007D7029">
              <w:rPr>
                <w:b/>
                <w:bCs/>
                <w:sz w:val="18"/>
                <w:szCs w:val="18"/>
              </w:rPr>
              <w:fldChar w:fldCharType="separate"/>
            </w:r>
            <w:r w:rsidR="005B287A">
              <w:rPr>
                <w:b/>
                <w:bCs/>
                <w:noProof/>
                <w:sz w:val="18"/>
                <w:szCs w:val="18"/>
              </w:rPr>
              <w:t>20</w:t>
            </w:r>
            <w:r w:rsidRPr="007D702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D254" w14:textId="77777777" w:rsidR="007052FD" w:rsidRDefault="007052FD" w:rsidP="007F7703">
      <w:pPr>
        <w:spacing w:after="0" w:line="240" w:lineRule="auto"/>
      </w:pPr>
      <w:r>
        <w:separator/>
      </w:r>
    </w:p>
  </w:footnote>
  <w:footnote w:type="continuationSeparator" w:id="0">
    <w:p w14:paraId="3FB44201" w14:textId="77777777" w:rsidR="007052FD" w:rsidRDefault="007052FD" w:rsidP="007F7703">
      <w:pPr>
        <w:spacing w:after="0" w:line="240" w:lineRule="auto"/>
      </w:pPr>
      <w:r>
        <w:continuationSeparator/>
      </w:r>
    </w:p>
  </w:footnote>
  <w:footnote w:id="1">
    <w:p w14:paraId="5A677BBF" w14:textId="38A57029" w:rsidR="007052FD" w:rsidRPr="00DE7741" w:rsidRDefault="007052FD" w:rsidP="001704CC">
      <w:pPr>
        <w:pStyle w:val="FootnoteText"/>
        <w:rPr>
          <w:rFonts w:asciiTheme="minorHAnsi" w:hAnsiTheme="minorHAnsi" w:cstheme="minorHAnsi"/>
        </w:rPr>
      </w:pPr>
      <w:r w:rsidRPr="00DE7741">
        <w:rPr>
          <w:rStyle w:val="FootnoteReference"/>
          <w:rFonts w:asciiTheme="minorHAnsi" w:hAnsiTheme="minorHAnsi" w:cstheme="minorHAnsi"/>
        </w:rPr>
        <w:footnoteRef/>
      </w:r>
      <w:r w:rsidRPr="00DE7741">
        <w:rPr>
          <w:rFonts w:asciiTheme="minorHAnsi" w:hAnsiTheme="minorHAnsi" w:cstheme="minorHAnsi"/>
        </w:rPr>
        <w:t xml:space="preserve"> </w:t>
      </w:r>
      <w:proofErr w:type="spellStart"/>
      <w:r w:rsidRPr="00DE7741">
        <w:rPr>
          <w:rFonts w:asciiTheme="minorHAnsi" w:hAnsiTheme="minorHAnsi" w:cstheme="minorHAnsi"/>
        </w:rPr>
        <w:t>Фридман</w:t>
      </w:r>
      <w:proofErr w:type="spellEnd"/>
      <w:r w:rsidRPr="00DE7741">
        <w:rPr>
          <w:rFonts w:asciiTheme="minorHAnsi" w:hAnsiTheme="minorHAnsi" w:cstheme="minorHAnsi"/>
        </w:rPr>
        <w:t xml:space="preserve">, М., </w:t>
      </w:r>
      <w:proofErr w:type="spellStart"/>
      <w:r w:rsidRPr="00DE7741">
        <w:rPr>
          <w:rFonts w:asciiTheme="minorHAnsi" w:hAnsiTheme="minorHAnsi" w:cstheme="minorHAnsi"/>
        </w:rPr>
        <w:t>Фридман</w:t>
      </w:r>
      <w:proofErr w:type="spellEnd"/>
      <w:r w:rsidRPr="00DE7741">
        <w:rPr>
          <w:rFonts w:asciiTheme="minorHAnsi" w:hAnsiTheme="minorHAnsi" w:cstheme="minorHAnsi"/>
        </w:rPr>
        <w:t xml:space="preserve">, Р. (1990) </w:t>
      </w:r>
      <w:r w:rsidRPr="00DE7741">
        <w:rPr>
          <w:rFonts w:asciiTheme="minorHAnsi" w:hAnsiTheme="minorHAnsi" w:cstheme="minorHAnsi"/>
          <w:i/>
        </w:rPr>
        <w:t>Свободата на избора</w:t>
      </w:r>
      <w:r w:rsidRPr="00DE7741">
        <w:rPr>
          <w:rFonts w:asciiTheme="minorHAnsi" w:hAnsiTheme="minorHAnsi" w:cstheme="minorHAnsi"/>
        </w:rPr>
        <w:t>, изд. „Дамян Яков“, София</w:t>
      </w:r>
    </w:p>
  </w:footnote>
  <w:footnote w:id="2">
    <w:p w14:paraId="4F034333" w14:textId="77777777" w:rsidR="007052FD" w:rsidRPr="00DE7741" w:rsidRDefault="007052FD" w:rsidP="001704CC">
      <w:pPr>
        <w:pStyle w:val="Heading4"/>
        <w:keepNext w:val="0"/>
        <w:spacing w:before="0" w:line="240" w:lineRule="auto"/>
        <w:jc w:val="both"/>
        <w:rPr>
          <w:rFonts w:asciiTheme="minorHAnsi" w:hAnsiTheme="minorHAnsi" w:cstheme="minorHAnsi"/>
          <w:b w:val="0"/>
          <w:i w:val="0"/>
          <w:color w:val="000000" w:themeColor="text1"/>
          <w:sz w:val="20"/>
          <w:szCs w:val="20"/>
        </w:rPr>
      </w:pPr>
      <w:r w:rsidRPr="00DE7741">
        <w:rPr>
          <w:rStyle w:val="FootnoteReference"/>
          <w:rFonts w:asciiTheme="minorHAnsi" w:hAnsiTheme="minorHAnsi" w:cstheme="minorHAnsi"/>
          <w:i w:val="0"/>
          <w:color w:val="000000" w:themeColor="text1"/>
          <w:sz w:val="20"/>
          <w:szCs w:val="20"/>
        </w:rPr>
        <w:footnoteRef/>
      </w:r>
      <w:r w:rsidRPr="00DE7741">
        <w:rPr>
          <w:rFonts w:asciiTheme="minorHAnsi" w:hAnsiTheme="minorHAnsi" w:cstheme="minorHAnsi"/>
          <w:i w:val="0"/>
          <w:color w:val="000000" w:themeColor="text1"/>
          <w:sz w:val="20"/>
          <w:szCs w:val="20"/>
        </w:rPr>
        <w:t xml:space="preserve"> </w:t>
      </w:r>
      <w:r w:rsidRPr="00DE7741">
        <w:rPr>
          <w:rFonts w:asciiTheme="minorHAnsi" w:hAnsiTheme="minorHAnsi" w:cstheme="minorHAnsi"/>
          <w:b w:val="0"/>
          <w:i w:val="0"/>
          <w:color w:val="000000" w:themeColor="text1"/>
          <w:sz w:val="20"/>
          <w:szCs w:val="20"/>
        </w:rPr>
        <w:t>а) „Ефективност“ е степента на постигане на целите при съпоставяне на действителните и очакваните резултати от дейността;</w:t>
      </w:r>
    </w:p>
    <w:p w14:paraId="4B35DC2F" w14:textId="77777777" w:rsidR="007052FD" w:rsidRPr="00DE7741" w:rsidRDefault="007052FD" w:rsidP="001704CC">
      <w:pPr>
        <w:pStyle w:val="Heading4"/>
        <w:keepNext w:val="0"/>
        <w:spacing w:before="0" w:line="240" w:lineRule="auto"/>
        <w:jc w:val="both"/>
        <w:rPr>
          <w:rFonts w:asciiTheme="minorHAnsi" w:hAnsiTheme="minorHAnsi" w:cstheme="minorHAnsi"/>
          <w:b w:val="0"/>
          <w:i w:val="0"/>
          <w:color w:val="000000" w:themeColor="text1"/>
          <w:sz w:val="20"/>
          <w:szCs w:val="20"/>
        </w:rPr>
      </w:pPr>
      <w:r w:rsidRPr="00DE7741">
        <w:rPr>
          <w:rFonts w:asciiTheme="minorHAnsi" w:hAnsiTheme="minorHAnsi" w:cstheme="minorHAnsi"/>
          <w:b w:val="0"/>
          <w:i w:val="0"/>
          <w:color w:val="000000" w:themeColor="text1"/>
          <w:sz w:val="20"/>
          <w:szCs w:val="20"/>
        </w:rPr>
        <w:t>б) „Ефикасност“ е постигането на максимални резултати от използваните ресурси при осъществяване на дейността;</w:t>
      </w:r>
    </w:p>
    <w:p w14:paraId="6C4CDD0D" w14:textId="77777777" w:rsidR="007052FD" w:rsidRPr="00DE7741" w:rsidRDefault="007052FD" w:rsidP="001704CC">
      <w:pPr>
        <w:pStyle w:val="Heading4"/>
        <w:keepNext w:val="0"/>
        <w:spacing w:before="0" w:line="240" w:lineRule="auto"/>
        <w:jc w:val="both"/>
        <w:rPr>
          <w:rFonts w:asciiTheme="minorHAnsi" w:hAnsiTheme="minorHAnsi" w:cstheme="minorHAnsi"/>
          <w:b w:val="0"/>
          <w:sz w:val="20"/>
          <w:szCs w:val="20"/>
          <w:highlight w:val="yellow"/>
        </w:rPr>
      </w:pPr>
      <w:r w:rsidRPr="00DE7741">
        <w:rPr>
          <w:rFonts w:asciiTheme="minorHAnsi" w:hAnsiTheme="minorHAnsi" w:cstheme="minorHAnsi"/>
          <w:b w:val="0"/>
          <w:i w:val="0"/>
          <w:color w:val="000000" w:themeColor="text1"/>
          <w:sz w:val="20"/>
          <w:szCs w:val="20"/>
        </w:rPr>
        <w:t>в) „Икономичност“ е придобиването с най-малки разходи на необходимите ресурси за осъществяване на дейността при спазване на изискванията за качество на ресурсите.</w:t>
      </w:r>
      <w:r w:rsidRPr="00DE7741">
        <w:rPr>
          <w:rFonts w:asciiTheme="minorHAnsi" w:hAnsiTheme="minorHAnsi" w:cstheme="minorHAnsi"/>
          <w:b w:val="0"/>
          <w:sz w:val="20"/>
          <w:szCs w:val="20"/>
          <w:highlight w:val="yellow"/>
        </w:rPr>
        <w:t xml:space="preserve"> </w:t>
      </w:r>
    </w:p>
  </w:footnote>
  <w:footnote w:id="3">
    <w:p w14:paraId="5BC91DBA" w14:textId="77777777" w:rsidR="007052FD" w:rsidRPr="00DE7741" w:rsidRDefault="007052FD" w:rsidP="001704CC">
      <w:pPr>
        <w:pStyle w:val="FootnoteText"/>
        <w:rPr>
          <w:rFonts w:asciiTheme="minorHAnsi" w:hAnsiTheme="minorHAnsi" w:cstheme="minorHAnsi"/>
        </w:rPr>
      </w:pPr>
      <w:r w:rsidRPr="00DE7741">
        <w:rPr>
          <w:rStyle w:val="FootnoteReference"/>
          <w:rFonts w:asciiTheme="minorHAnsi" w:hAnsiTheme="minorHAnsi" w:cstheme="minorHAnsi"/>
        </w:rPr>
        <w:footnoteRef/>
      </w:r>
      <w:r w:rsidRPr="00DE7741">
        <w:rPr>
          <w:rFonts w:asciiTheme="minorHAnsi" w:hAnsiTheme="minorHAnsi" w:cstheme="minorHAnsi"/>
        </w:rPr>
        <w:t xml:space="preserve"> Повече – в изследването на ИПИ „</w:t>
      </w:r>
      <w:hyperlink r:id="rId1" w:history="1">
        <w:r w:rsidRPr="00DE7741">
          <w:rPr>
            <w:rStyle w:val="Hyperlink"/>
            <w:rFonts w:asciiTheme="minorHAnsi" w:hAnsiTheme="minorHAnsi" w:cstheme="minorHAnsi"/>
          </w:rPr>
          <w:t>Дисекция на обществените поръчки 2007-2015 г.</w:t>
        </w:r>
      </w:hyperlink>
      <w:r w:rsidRPr="00DE7741">
        <w:rPr>
          <w:rFonts w:asciiTheme="minorHAnsi" w:hAnsiTheme="minorHAnsi" w:cstheme="minorHAnsi"/>
        </w:rPr>
        <w:t>”</w:t>
      </w:r>
    </w:p>
  </w:footnote>
  <w:footnote w:id="4">
    <w:p w14:paraId="4D8658E3" w14:textId="0FDFE0C5" w:rsidR="007052FD" w:rsidRPr="00DE7741" w:rsidRDefault="007052FD" w:rsidP="001704CC">
      <w:pPr>
        <w:spacing w:after="0" w:line="240" w:lineRule="auto"/>
        <w:jc w:val="both"/>
        <w:rPr>
          <w:rFonts w:cstheme="minorHAnsi"/>
          <w:sz w:val="20"/>
          <w:szCs w:val="20"/>
        </w:rPr>
      </w:pPr>
      <w:r w:rsidRPr="00DE7741">
        <w:rPr>
          <w:rStyle w:val="FootnoteReference"/>
          <w:rFonts w:cstheme="minorHAnsi"/>
          <w:sz w:val="20"/>
          <w:szCs w:val="20"/>
        </w:rPr>
        <w:footnoteRef/>
      </w:r>
      <w:r w:rsidRPr="00DE7741">
        <w:rPr>
          <w:rFonts w:cstheme="minorHAnsi"/>
          <w:sz w:val="20"/>
          <w:szCs w:val="20"/>
        </w:rPr>
        <w:t xml:space="preserve"> Примерите за успех са част от разгледаните при изготвянето на настоящето (седмо) издание на анализа доклади на Сметната палата.</w:t>
      </w:r>
    </w:p>
  </w:footnote>
  <w:footnote w:id="5">
    <w:p w14:paraId="360CE105" w14:textId="55BBD6B7" w:rsidR="007052FD" w:rsidRPr="00DE7741" w:rsidRDefault="007052FD" w:rsidP="001704CC">
      <w:pPr>
        <w:spacing w:after="0" w:line="240" w:lineRule="auto"/>
        <w:jc w:val="both"/>
        <w:rPr>
          <w:rFonts w:cstheme="minorHAnsi"/>
          <w:sz w:val="20"/>
          <w:szCs w:val="20"/>
        </w:rPr>
      </w:pPr>
      <w:r w:rsidRPr="00DE7741">
        <w:rPr>
          <w:rStyle w:val="FootnoteReference"/>
          <w:rFonts w:cstheme="minorHAnsi"/>
          <w:sz w:val="20"/>
          <w:szCs w:val="20"/>
        </w:rPr>
        <w:footnoteRef/>
      </w:r>
      <w:r w:rsidRPr="00DE7741">
        <w:rPr>
          <w:rFonts w:cstheme="minorHAnsi"/>
          <w:sz w:val="20"/>
          <w:szCs w:val="20"/>
        </w:rPr>
        <w:t xml:space="preserve"> Примерите за провал са част от разгледаните при изготвянето на настоящето (седмо) издание на анализа доклади на Сметната палата.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E6D"/>
    <w:multiLevelType w:val="hybridMultilevel"/>
    <w:tmpl w:val="56902DC4"/>
    <w:lvl w:ilvl="0" w:tplc="20E2D0DA">
      <w:start w:val="1"/>
      <w:numFmt w:val="bullet"/>
      <w:lvlText w:val=""/>
      <w:lvlJc w:val="left"/>
      <w:pPr>
        <w:tabs>
          <w:tab w:val="num" w:pos="720"/>
        </w:tabs>
        <w:ind w:left="720" w:hanging="360"/>
      </w:pPr>
      <w:rPr>
        <w:rFonts w:ascii="Wingdings" w:hAnsi="Wingdings" w:hint="default"/>
        <w:color w:val="000000" w:themeColor="text1"/>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5FD7"/>
    <w:multiLevelType w:val="hybridMultilevel"/>
    <w:tmpl w:val="2DBCD3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8F7E73"/>
    <w:multiLevelType w:val="hybridMultilevel"/>
    <w:tmpl w:val="A348A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46145D"/>
    <w:multiLevelType w:val="multilevel"/>
    <w:tmpl w:val="E93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B6599"/>
    <w:multiLevelType w:val="hybridMultilevel"/>
    <w:tmpl w:val="F808EC76"/>
    <w:lvl w:ilvl="0" w:tplc="0402000B">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3A1D7C"/>
    <w:multiLevelType w:val="hybridMultilevel"/>
    <w:tmpl w:val="A2D41A4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3A1BB1"/>
    <w:multiLevelType w:val="multilevel"/>
    <w:tmpl w:val="FEEC35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85F41"/>
    <w:multiLevelType w:val="hybridMultilevel"/>
    <w:tmpl w:val="4CF84D78"/>
    <w:lvl w:ilvl="0" w:tplc="04020001">
      <w:start w:val="1"/>
      <w:numFmt w:val="bullet"/>
      <w:lvlText w:val=""/>
      <w:lvlJc w:val="left"/>
      <w:pPr>
        <w:ind w:left="720" w:hanging="360"/>
      </w:pPr>
      <w:rPr>
        <w:rFonts w:ascii="Symbol" w:hAnsi="Symbol" w:hint="default"/>
      </w:rPr>
    </w:lvl>
    <w:lvl w:ilvl="1" w:tplc="51C6684E">
      <w:numFmt w:val="bullet"/>
      <w:lvlText w:val="-"/>
      <w:lvlJc w:val="left"/>
      <w:pPr>
        <w:ind w:left="1440" w:hanging="360"/>
      </w:pPr>
      <w:rPr>
        <w:rFonts w:ascii="Calibri" w:eastAsiaTheme="minorEastAsia"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C4B673D"/>
    <w:multiLevelType w:val="hybridMultilevel"/>
    <w:tmpl w:val="A830E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CF85C3B"/>
    <w:multiLevelType w:val="multilevel"/>
    <w:tmpl w:val="0906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47959"/>
    <w:multiLevelType w:val="multilevel"/>
    <w:tmpl w:val="FEEC35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57BF3"/>
    <w:multiLevelType w:val="hybridMultilevel"/>
    <w:tmpl w:val="E78455DC"/>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521D742A"/>
    <w:multiLevelType w:val="hybridMultilevel"/>
    <w:tmpl w:val="C46C1556"/>
    <w:lvl w:ilvl="0" w:tplc="53ECF16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73225"/>
    <w:multiLevelType w:val="hybridMultilevel"/>
    <w:tmpl w:val="0494D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87555BB"/>
    <w:multiLevelType w:val="hybridMultilevel"/>
    <w:tmpl w:val="180262C6"/>
    <w:lvl w:ilvl="0" w:tplc="CFC42586">
      <w:start w:val="1"/>
      <w:numFmt w:val="upperRoman"/>
      <w:lvlText w:val="%1."/>
      <w:lvlJc w:val="left"/>
      <w:pPr>
        <w:ind w:left="720" w:hanging="360"/>
      </w:pPr>
      <w:rPr>
        <w:rFonts w:asciiTheme="minorHAnsi" w:eastAsiaTheme="minorHAnsi" w:hAnsiTheme="min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9C77631"/>
    <w:multiLevelType w:val="hybridMultilevel"/>
    <w:tmpl w:val="1CEC12B2"/>
    <w:lvl w:ilvl="0" w:tplc="AE0C976E">
      <w:start w:val="1"/>
      <w:numFmt w:val="bullet"/>
      <w:lvlText w:val="•"/>
      <w:lvlJc w:val="left"/>
      <w:pPr>
        <w:tabs>
          <w:tab w:val="num" w:pos="720"/>
        </w:tabs>
        <w:ind w:left="720" w:hanging="360"/>
      </w:pPr>
      <w:rPr>
        <w:rFonts w:ascii="Times New Roman" w:hAnsi="Times New Roman" w:hint="default"/>
      </w:rPr>
    </w:lvl>
    <w:lvl w:ilvl="1" w:tplc="C194CC3A" w:tentative="1">
      <w:start w:val="1"/>
      <w:numFmt w:val="bullet"/>
      <w:lvlText w:val="•"/>
      <w:lvlJc w:val="left"/>
      <w:pPr>
        <w:tabs>
          <w:tab w:val="num" w:pos="1440"/>
        </w:tabs>
        <w:ind w:left="1440" w:hanging="360"/>
      </w:pPr>
      <w:rPr>
        <w:rFonts w:ascii="Times New Roman" w:hAnsi="Times New Roman" w:hint="default"/>
      </w:rPr>
    </w:lvl>
    <w:lvl w:ilvl="2" w:tplc="5B8C9A04" w:tentative="1">
      <w:start w:val="1"/>
      <w:numFmt w:val="bullet"/>
      <w:lvlText w:val="•"/>
      <w:lvlJc w:val="left"/>
      <w:pPr>
        <w:tabs>
          <w:tab w:val="num" w:pos="2160"/>
        </w:tabs>
        <w:ind w:left="2160" w:hanging="360"/>
      </w:pPr>
      <w:rPr>
        <w:rFonts w:ascii="Times New Roman" w:hAnsi="Times New Roman" w:hint="default"/>
      </w:rPr>
    </w:lvl>
    <w:lvl w:ilvl="3" w:tplc="21AE5202" w:tentative="1">
      <w:start w:val="1"/>
      <w:numFmt w:val="bullet"/>
      <w:lvlText w:val="•"/>
      <w:lvlJc w:val="left"/>
      <w:pPr>
        <w:tabs>
          <w:tab w:val="num" w:pos="2880"/>
        </w:tabs>
        <w:ind w:left="2880" w:hanging="360"/>
      </w:pPr>
      <w:rPr>
        <w:rFonts w:ascii="Times New Roman" w:hAnsi="Times New Roman" w:hint="default"/>
      </w:rPr>
    </w:lvl>
    <w:lvl w:ilvl="4" w:tplc="7932E69E" w:tentative="1">
      <w:start w:val="1"/>
      <w:numFmt w:val="bullet"/>
      <w:lvlText w:val="•"/>
      <w:lvlJc w:val="left"/>
      <w:pPr>
        <w:tabs>
          <w:tab w:val="num" w:pos="3600"/>
        </w:tabs>
        <w:ind w:left="3600" w:hanging="360"/>
      </w:pPr>
      <w:rPr>
        <w:rFonts w:ascii="Times New Roman" w:hAnsi="Times New Roman" w:hint="default"/>
      </w:rPr>
    </w:lvl>
    <w:lvl w:ilvl="5" w:tplc="B8DC7A58" w:tentative="1">
      <w:start w:val="1"/>
      <w:numFmt w:val="bullet"/>
      <w:lvlText w:val="•"/>
      <w:lvlJc w:val="left"/>
      <w:pPr>
        <w:tabs>
          <w:tab w:val="num" w:pos="4320"/>
        </w:tabs>
        <w:ind w:left="4320" w:hanging="360"/>
      </w:pPr>
      <w:rPr>
        <w:rFonts w:ascii="Times New Roman" w:hAnsi="Times New Roman" w:hint="default"/>
      </w:rPr>
    </w:lvl>
    <w:lvl w:ilvl="6" w:tplc="0EC050A8" w:tentative="1">
      <w:start w:val="1"/>
      <w:numFmt w:val="bullet"/>
      <w:lvlText w:val="•"/>
      <w:lvlJc w:val="left"/>
      <w:pPr>
        <w:tabs>
          <w:tab w:val="num" w:pos="5040"/>
        </w:tabs>
        <w:ind w:left="5040" w:hanging="360"/>
      </w:pPr>
      <w:rPr>
        <w:rFonts w:ascii="Times New Roman" w:hAnsi="Times New Roman" w:hint="default"/>
      </w:rPr>
    </w:lvl>
    <w:lvl w:ilvl="7" w:tplc="925A00A0" w:tentative="1">
      <w:start w:val="1"/>
      <w:numFmt w:val="bullet"/>
      <w:lvlText w:val="•"/>
      <w:lvlJc w:val="left"/>
      <w:pPr>
        <w:tabs>
          <w:tab w:val="num" w:pos="5760"/>
        </w:tabs>
        <w:ind w:left="5760" w:hanging="360"/>
      </w:pPr>
      <w:rPr>
        <w:rFonts w:ascii="Times New Roman" w:hAnsi="Times New Roman" w:hint="default"/>
      </w:rPr>
    </w:lvl>
    <w:lvl w:ilvl="8" w:tplc="74183F2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D059C9"/>
    <w:multiLevelType w:val="hybridMultilevel"/>
    <w:tmpl w:val="6C8A8C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D3B7224"/>
    <w:multiLevelType w:val="hybridMultilevel"/>
    <w:tmpl w:val="57CC9540"/>
    <w:lvl w:ilvl="0" w:tplc="28DE27B8">
      <w:numFmt w:val="bullet"/>
      <w:lvlText w:val=""/>
      <w:lvlJc w:val="left"/>
      <w:pPr>
        <w:ind w:left="360" w:hanging="360"/>
      </w:pPr>
      <w:rPr>
        <w:rFonts w:ascii="Symbol" w:eastAsia="Times New Roman" w:hAnsi="Symbol" w:cs="Times New Roman" w:hint="default"/>
        <w:color w:val="00000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5EFE1180"/>
    <w:multiLevelType w:val="multilevel"/>
    <w:tmpl w:val="FEEC35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D30247"/>
    <w:multiLevelType w:val="hybridMultilevel"/>
    <w:tmpl w:val="E7DEDF08"/>
    <w:lvl w:ilvl="0" w:tplc="04020001">
      <w:start w:val="1"/>
      <w:numFmt w:val="bullet"/>
      <w:lvlText w:val=""/>
      <w:lvlJc w:val="left"/>
      <w:pPr>
        <w:ind w:left="720" w:hanging="360"/>
      </w:pPr>
      <w:rPr>
        <w:rFonts w:ascii="Symbol" w:hAnsi="Symbol" w:hint="default"/>
      </w:rPr>
    </w:lvl>
    <w:lvl w:ilvl="1" w:tplc="D562C49E">
      <w:numFmt w:val="bullet"/>
      <w:lvlText w:val="-"/>
      <w:lvlJc w:val="left"/>
      <w:pPr>
        <w:ind w:left="1788" w:hanging="708"/>
      </w:pPr>
      <w:rPr>
        <w:rFonts w:ascii="Calibri" w:eastAsia="Times New Roman" w:hAnsi="Calibri" w:cstheme="minorHAns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5000605"/>
    <w:multiLevelType w:val="multilevel"/>
    <w:tmpl w:val="3DDE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F10919"/>
    <w:multiLevelType w:val="hybridMultilevel"/>
    <w:tmpl w:val="4DBC79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06528E4"/>
    <w:multiLevelType w:val="hybridMultilevel"/>
    <w:tmpl w:val="C33C76F6"/>
    <w:lvl w:ilvl="0" w:tplc="AEF8F95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6531799"/>
    <w:multiLevelType w:val="hybridMultilevel"/>
    <w:tmpl w:val="DE2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F6F79"/>
    <w:multiLevelType w:val="hybridMultilevel"/>
    <w:tmpl w:val="642204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8C0361C"/>
    <w:multiLevelType w:val="hybridMultilevel"/>
    <w:tmpl w:val="21C4C5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4"/>
  </w:num>
  <w:num w:numId="4">
    <w:abstractNumId w:val="0"/>
  </w:num>
  <w:num w:numId="5">
    <w:abstractNumId w:val="17"/>
  </w:num>
  <w:num w:numId="6">
    <w:abstractNumId w:val="9"/>
  </w:num>
  <w:num w:numId="7">
    <w:abstractNumId w:val="6"/>
  </w:num>
  <w:num w:numId="8">
    <w:abstractNumId w:val="18"/>
  </w:num>
  <w:num w:numId="9">
    <w:abstractNumId w:val="10"/>
  </w:num>
  <w:num w:numId="10">
    <w:abstractNumId w:val="1"/>
  </w:num>
  <w:num w:numId="11">
    <w:abstractNumId w:val="14"/>
  </w:num>
  <w:num w:numId="12">
    <w:abstractNumId w:val="3"/>
  </w:num>
  <w:num w:numId="13">
    <w:abstractNumId w:val="15"/>
  </w:num>
  <w:num w:numId="14">
    <w:abstractNumId w:val="12"/>
  </w:num>
  <w:num w:numId="15">
    <w:abstractNumId w:val="11"/>
  </w:num>
  <w:num w:numId="16">
    <w:abstractNumId w:val="25"/>
  </w:num>
  <w:num w:numId="17">
    <w:abstractNumId w:val="16"/>
  </w:num>
  <w:num w:numId="18">
    <w:abstractNumId w:val="21"/>
  </w:num>
  <w:num w:numId="19">
    <w:abstractNumId w:val="5"/>
  </w:num>
  <w:num w:numId="20">
    <w:abstractNumId w:val="2"/>
  </w:num>
  <w:num w:numId="21">
    <w:abstractNumId w:val="19"/>
  </w:num>
  <w:num w:numId="22">
    <w:abstractNumId w:val="23"/>
  </w:num>
  <w:num w:numId="23">
    <w:abstractNumId w:val="22"/>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6"/>
    <w:rsid w:val="0001090C"/>
    <w:rsid w:val="00011445"/>
    <w:rsid w:val="000145DD"/>
    <w:rsid w:val="00016EA8"/>
    <w:rsid w:val="00031691"/>
    <w:rsid w:val="000414CE"/>
    <w:rsid w:val="000515F4"/>
    <w:rsid w:val="0005382A"/>
    <w:rsid w:val="00055781"/>
    <w:rsid w:val="00057EB9"/>
    <w:rsid w:val="00060767"/>
    <w:rsid w:val="00063B0A"/>
    <w:rsid w:val="000678D0"/>
    <w:rsid w:val="00072724"/>
    <w:rsid w:val="000875EF"/>
    <w:rsid w:val="0009030A"/>
    <w:rsid w:val="000932C1"/>
    <w:rsid w:val="000939FE"/>
    <w:rsid w:val="0009514E"/>
    <w:rsid w:val="000A48CD"/>
    <w:rsid w:val="000B5C3C"/>
    <w:rsid w:val="000B767C"/>
    <w:rsid w:val="000B77DE"/>
    <w:rsid w:val="000C6E19"/>
    <w:rsid w:val="000D797D"/>
    <w:rsid w:val="000E2FCE"/>
    <w:rsid w:val="000E6046"/>
    <w:rsid w:val="000F17C2"/>
    <w:rsid w:val="001037C9"/>
    <w:rsid w:val="001048FF"/>
    <w:rsid w:val="00110DA4"/>
    <w:rsid w:val="00116081"/>
    <w:rsid w:val="0011762F"/>
    <w:rsid w:val="0012269D"/>
    <w:rsid w:val="00136F07"/>
    <w:rsid w:val="0014174A"/>
    <w:rsid w:val="001454F0"/>
    <w:rsid w:val="00146E01"/>
    <w:rsid w:val="00153A30"/>
    <w:rsid w:val="00156514"/>
    <w:rsid w:val="0015687F"/>
    <w:rsid w:val="00157978"/>
    <w:rsid w:val="00162114"/>
    <w:rsid w:val="001639D4"/>
    <w:rsid w:val="00167DE4"/>
    <w:rsid w:val="001704CC"/>
    <w:rsid w:val="00172A67"/>
    <w:rsid w:val="001965DD"/>
    <w:rsid w:val="001A15C7"/>
    <w:rsid w:val="001A17A1"/>
    <w:rsid w:val="001A28FD"/>
    <w:rsid w:val="001A76F5"/>
    <w:rsid w:val="001D254D"/>
    <w:rsid w:val="001D3B14"/>
    <w:rsid w:val="001D5E41"/>
    <w:rsid w:val="001F092C"/>
    <w:rsid w:val="001F7CC3"/>
    <w:rsid w:val="002034A8"/>
    <w:rsid w:val="00212071"/>
    <w:rsid w:val="00220A0E"/>
    <w:rsid w:val="00234D12"/>
    <w:rsid w:val="00246C8C"/>
    <w:rsid w:val="0026062E"/>
    <w:rsid w:val="00274960"/>
    <w:rsid w:val="00276BF6"/>
    <w:rsid w:val="0028168A"/>
    <w:rsid w:val="00282801"/>
    <w:rsid w:val="00283673"/>
    <w:rsid w:val="00285F6A"/>
    <w:rsid w:val="0029071F"/>
    <w:rsid w:val="00290A1D"/>
    <w:rsid w:val="002928CD"/>
    <w:rsid w:val="002B4A06"/>
    <w:rsid w:val="002B5B46"/>
    <w:rsid w:val="002B7DAB"/>
    <w:rsid w:val="002B7DD7"/>
    <w:rsid w:val="002C08EE"/>
    <w:rsid w:val="002D4302"/>
    <w:rsid w:val="002D5317"/>
    <w:rsid w:val="002D727C"/>
    <w:rsid w:val="002E4130"/>
    <w:rsid w:val="00301427"/>
    <w:rsid w:val="00304D1F"/>
    <w:rsid w:val="003214ED"/>
    <w:rsid w:val="003629EB"/>
    <w:rsid w:val="00366E48"/>
    <w:rsid w:val="00370519"/>
    <w:rsid w:val="0037264F"/>
    <w:rsid w:val="00377546"/>
    <w:rsid w:val="003815FA"/>
    <w:rsid w:val="00382AAB"/>
    <w:rsid w:val="00383258"/>
    <w:rsid w:val="00383B70"/>
    <w:rsid w:val="00383EE3"/>
    <w:rsid w:val="0038646A"/>
    <w:rsid w:val="00390B63"/>
    <w:rsid w:val="00392A87"/>
    <w:rsid w:val="003A3148"/>
    <w:rsid w:val="003A57BE"/>
    <w:rsid w:val="003A6843"/>
    <w:rsid w:val="003A6990"/>
    <w:rsid w:val="003A7BBA"/>
    <w:rsid w:val="003C0C97"/>
    <w:rsid w:val="003C73F9"/>
    <w:rsid w:val="003D5BFB"/>
    <w:rsid w:val="003D67EB"/>
    <w:rsid w:val="003E2752"/>
    <w:rsid w:val="003E2DB0"/>
    <w:rsid w:val="003F42F1"/>
    <w:rsid w:val="0040512C"/>
    <w:rsid w:val="00417D5C"/>
    <w:rsid w:val="00420490"/>
    <w:rsid w:val="00421952"/>
    <w:rsid w:val="00423E7B"/>
    <w:rsid w:val="00434EB8"/>
    <w:rsid w:val="00440BC3"/>
    <w:rsid w:val="004419DC"/>
    <w:rsid w:val="00442DFF"/>
    <w:rsid w:val="00443641"/>
    <w:rsid w:val="0044667C"/>
    <w:rsid w:val="004466A6"/>
    <w:rsid w:val="00446869"/>
    <w:rsid w:val="00457218"/>
    <w:rsid w:val="00470D8A"/>
    <w:rsid w:val="00481D23"/>
    <w:rsid w:val="004858B3"/>
    <w:rsid w:val="004868CC"/>
    <w:rsid w:val="004954FA"/>
    <w:rsid w:val="004A4220"/>
    <w:rsid w:val="004B21FD"/>
    <w:rsid w:val="004C0B5B"/>
    <w:rsid w:val="004C2B48"/>
    <w:rsid w:val="004D2C2C"/>
    <w:rsid w:val="004D674A"/>
    <w:rsid w:val="004D7FDB"/>
    <w:rsid w:val="004E0C19"/>
    <w:rsid w:val="004E2E7C"/>
    <w:rsid w:val="004E3B7F"/>
    <w:rsid w:val="004E57EB"/>
    <w:rsid w:val="004F143D"/>
    <w:rsid w:val="004F536B"/>
    <w:rsid w:val="00510500"/>
    <w:rsid w:val="005117DD"/>
    <w:rsid w:val="00522ECA"/>
    <w:rsid w:val="00527D0B"/>
    <w:rsid w:val="00532ECB"/>
    <w:rsid w:val="0054290E"/>
    <w:rsid w:val="005436EF"/>
    <w:rsid w:val="005437D1"/>
    <w:rsid w:val="00553F55"/>
    <w:rsid w:val="005612D7"/>
    <w:rsid w:val="00562CB5"/>
    <w:rsid w:val="00564078"/>
    <w:rsid w:val="0056635F"/>
    <w:rsid w:val="005673D7"/>
    <w:rsid w:val="00575261"/>
    <w:rsid w:val="005765A9"/>
    <w:rsid w:val="005805FE"/>
    <w:rsid w:val="0058086F"/>
    <w:rsid w:val="0058448A"/>
    <w:rsid w:val="00586A58"/>
    <w:rsid w:val="005A24D6"/>
    <w:rsid w:val="005A52FB"/>
    <w:rsid w:val="005A5D83"/>
    <w:rsid w:val="005A607B"/>
    <w:rsid w:val="005A728D"/>
    <w:rsid w:val="005B1BE4"/>
    <w:rsid w:val="005B287A"/>
    <w:rsid w:val="005B722D"/>
    <w:rsid w:val="005D5376"/>
    <w:rsid w:val="005D6538"/>
    <w:rsid w:val="005E31BF"/>
    <w:rsid w:val="005E3827"/>
    <w:rsid w:val="005F221A"/>
    <w:rsid w:val="00600D71"/>
    <w:rsid w:val="00601A8E"/>
    <w:rsid w:val="006072A6"/>
    <w:rsid w:val="00610359"/>
    <w:rsid w:val="00610A1F"/>
    <w:rsid w:val="00612267"/>
    <w:rsid w:val="006159EB"/>
    <w:rsid w:val="00615E35"/>
    <w:rsid w:val="00625FEC"/>
    <w:rsid w:val="0064392E"/>
    <w:rsid w:val="006461F3"/>
    <w:rsid w:val="00646D77"/>
    <w:rsid w:val="00652869"/>
    <w:rsid w:val="00656E76"/>
    <w:rsid w:val="006629C1"/>
    <w:rsid w:val="00672BF3"/>
    <w:rsid w:val="0067679B"/>
    <w:rsid w:val="006800F1"/>
    <w:rsid w:val="00681494"/>
    <w:rsid w:val="00687D81"/>
    <w:rsid w:val="00690621"/>
    <w:rsid w:val="006927E6"/>
    <w:rsid w:val="00695C92"/>
    <w:rsid w:val="006A1DFD"/>
    <w:rsid w:val="006A3432"/>
    <w:rsid w:val="006A4083"/>
    <w:rsid w:val="006A44FB"/>
    <w:rsid w:val="006A6660"/>
    <w:rsid w:val="006B1215"/>
    <w:rsid w:val="006C59BC"/>
    <w:rsid w:val="006C636D"/>
    <w:rsid w:val="006C6A22"/>
    <w:rsid w:val="006C7941"/>
    <w:rsid w:val="006C7B62"/>
    <w:rsid w:val="006D0D95"/>
    <w:rsid w:val="006D682A"/>
    <w:rsid w:val="006F2734"/>
    <w:rsid w:val="0070126D"/>
    <w:rsid w:val="007052FD"/>
    <w:rsid w:val="00724D77"/>
    <w:rsid w:val="00727BAC"/>
    <w:rsid w:val="00727E0A"/>
    <w:rsid w:val="00734A0F"/>
    <w:rsid w:val="00734AC0"/>
    <w:rsid w:val="00745CE7"/>
    <w:rsid w:val="007463AD"/>
    <w:rsid w:val="00746982"/>
    <w:rsid w:val="00750B39"/>
    <w:rsid w:val="00761A7E"/>
    <w:rsid w:val="00770DA8"/>
    <w:rsid w:val="0078228F"/>
    <w:rsid w:val="007856E4"/>
    <w:rsid w:val="00790DA4"/>
    <w:rsid w:val="00792A74"/>
    <w:rsid w:val="00797A36"/>
    <w:rsid w:val="007A7EAB"/>
    <w:rsid w:val="007B2CA1"/>
    <w:rsid w:val="007B4A9C"/>
    <w:rsid w:val="007B4F8E"/>
    <w:rsid w:val="007B6375"/>
    <w:rsid w:val="007C1C43"/>
    <w:rsid w:val="007C2BF6"/>
    <w:rsid w:val="007D7029"/>
    <w:rsid w:val="007E3228"/>
    <w:rsid w:val="007F3A54"/>
    <w:rsid w:val="007F68ED"/>
    <w:rsid w:val="007F7703"/>
    <w:rsid w:val="007F77A9"/>
    <w:rsid w:val="00804A08"/>
    <w:rsid w:val="008061DD"/>
    <w:rsid w:val="00806D8A"/>
    <w:rsid w:val="00810031"/>
    <w:rsid w:val="00827C8D"/>
    <w:rsid w:val="00831E20"/>
    <w:rsid w:val="008557DB"/>
    <w:rsid w:val="00856817"/>
    <w:rsid w:val="00861E7E"/>
    <w:rsid w:val="00862A41"/>
    <w:rsid w:val="00867FD3"/>
    <w:rsid w:val="008706B5"/>
    <w:rsid w:val="00873EB0"/>
    <w:rsid w:val="0087710D"/>
    <w:rsid w:val="00885D57"/>
    <w:rsid w:val="008861B6"/>
    <w:rsid w:val="00893097"/>
    <w:rsid w:val="00894813"/>
    <w:rsid w:val="00896A1A"/>
    <w:rsid w:val="008A1ADC"/>
    <w:rsid w:val="008A419F"/>
    <w:rsid w:val="008A4666"/>
    <w:rsid w:val="008A7FD3"/>
    <w:rsid w:val="008B56F8"/>
    <w:rsid w:val="008C0083"/>
    <w:rsid w:val="008C1153"/>
    <w:rsid w:val="008C79AD"/>
    <w:rsid w:val="008E5E92"/>
    <w:rsid w:val="008E645E"/>
    <w:rsid w:val="008F10A9"/>
    <w:rsid w:val="008F562C"/>
    <w:rsid w:val="00913B9E"/>
    <w:rsid w:val="00917249"/>
    <w:rsid w:val="00927280"/>
    <w:rsid w:val="00932470"/>
    <w:rsid w:val="00941DCC"/>
    <w:rsid w:val="00947EB2"/>
    <w:rsid w:val="00950C07"/>
    <w:rsid w:val="009605CA"/>
    <w:rsid w:val="00965C3B"/>
    <w:rsid w:val="00965CFE"/>
    <w:rsid w:val="00972E6C"/>
    <w:rsid w:val="009852AA"/>
    <w:rsid w:val="009A3013"/>
    <w:rsid w:val="009B6739"/>
    <w:rsid w:val="009D47AE"/>
    <w:rsid w:val="009D5984"/>
    <w:rsid w:val="009E2B05"/>
    <w:rsid w:val="009F6D57"/>
    <w:rsid w:val="00A003A1"/>
    <w:rsid w:val="00A003E0"/>
    <w:rsid w:val="00A018AC"/>
    <w:rsid w:val="00A04106"/>
    <w:rsid w:val="00A105F9"/>
    <w:rsid w:val="00A10A39"/>
    <w:rsid w:val="00A221AE"/>
    <w:rsid w:val="00A2789E"/>
    <w:rsid w:val="00A40604"/>
    <w:rsid w:val="00A53054"/>
    <w:rsid w:val="00A570DD"/>
    <w:rsid w:val="00A635CF"/>
    <w:rsid w:val="00A65D4D"/>
    <w:rsid w:val="00A675B6"/>
    <w:rsid w:val="00A71BEF"/>
    <w:rsid w:val="00A83703"/>
    <w:rsid w:val="00A87272"/>
    <w:rsid w:val="00A95A9E"/>
    <w:rsid w:val="00AA4E89"/>
    <w:rsid w:val="00AC6AA4"/>
    <w:rsid w:val="00AC77B3"/>
    <w:rsid w:val="00AD10D8"/>
    <w:rsid w:val="00AD15E9"/>
    <w:rsid w:val="00AD41A4"/>
    <w:rsid w:val="00AD4787"/>
    <w:rsid w:val="00AE4423"/>
    <w:rsid w:val="00AE63D0"/>
    <w:rsid w:val="00AF31F6"/>
    <w:rsid w:val="00AF67AD"/>
    <w:rsid w:val="00B133CC"/>
    <w:rsid w:val="00B213C1"/>
    <w:rsid w:val="00B225E4"/>
    <w:rsid w:val="00B26195"/>
    <w:rsid w:val="00B304E0"/>
    <w:rsid w:val="00B31AE5"/>
    <w:rsid w:val="00B35808"/>
    <w:rsid w:val="00B43CA5"/>
    <w:rsid w:val="00B43D59"/>
    <w:rsid w:val="00B44ED6"/>
    <w:rsid w:val="00B45269"/>
    <w:rsid w:val="00B47E6D"/>
    <w:rsid w:val="00B5156E"/>
    <w:rsid w:val="00B62055"/>
    <w:rsid w:val="00B654E2"/>
    <w:rsid w:val="00B822F5"/>
    <w:rsid w:val="00B8449A"/>
    <w:rsid w:val="00B90B03"/>
    <w:rsid w:val="00BA79E4"/>
    <w:rsid w:val="00BB3563"/>
    <w:rsid w:val="00BC0973"/>
    <w:rsid w:val="00BC5D60"/>
    <w:rsid w:val="00BD691E"/>
    <w:rsid w:val="00BE4DE9"/>
    <w:rsid w:val="00BF5D15"/>
    <w:rsid w:val="00C03CB7"/>
    <w:rsid w:val="00C0475D"/>
    <w:rsid w:val="00C06C0F"/>
    <w:rsid w:val="00C128EB"/>
    <w:rsid w:val="00C12ACE"/>
    <w:rsid w:val="00C21964"/>
    <w:rsid w:val="00C30904"/>
    <w:rsid w:val="00C36DCA"/>
    <w:rsid w:val="00C45058"/>
    <w:rsid w:val="00C45DF4"/>
    <w:rsid w:val="00C50839"/>
    <w:rsid w:val="00C55B1B"/>
    <w:rsid w:val="00C60E30"/>
    <w:rsid w:val="00C61E03"/>
    <w:rsid w:val="00C755AA"/>
    <w:rsid w:val="00C75673"/>
    <w:rsid w:val="00C91EC5"/>
    <w:rsid w:val="00CC2D7B"/>
    <w:rsid w:val="00CC38B4"/>
    <w:rsid w:val="00CC67F7"/>
    <w:rsid w:val="00CC75FD"/>
    <w:rsid w:val="00CD13DC"/>
    <w:rsid w:val="00CD1CB7"/>
    <w:rsid w:val="00CD4BD1"/>
    <w:rsid w:val="00CE1958"/>
    <w:rsid w:val="00CE288C"/>
    <w:rsid w:val="00CF0DAF"/>
    <w:rsid w:val="00CF1B05"/>
    <w:rsid w:val="00CF41C0"/>
    <w:rsid w:val="00D04D89"/>
    <w:rsid w:val="00D05D15"/>
    <w:rsid w:val="00D12AC0"/>
    <w:rsid w:val="00D159A2"/>
    <w:rsid w:val="00D2135E"/>
    <w:rsid w:val="00D21E2C"/>
    <w:rsid w:val="00D27BA3"/>
    <w:rsid w:val="00D31FAA"/>
    <w:rsid w:val="00D511D6"/>
    <w:rsid w:val="00D52939"/>
    <w:rsid w:val="00D52B5D"/>
    <w:rsid w:val="00D534A0"/>
    <w:rsid w:val="00D722E5"/>
    <w:rsid w:val="00D777CD"/>
    <w:rsid w:val="00D80793"/>
    <w:rsid w:val="00D86E97"/>
    <w:rsid w:val="00D938F1"/>
    <w:rsid w:val="00D95404"/>
    <w:rsid w:val="00D95CC9"/>
    <w:rsid w:val="00DA1B59"/>
    <w:rsid w:val="00DB0B1E"/>
    <w:rsid w:val="00DB327F"/>
    <w:rsid w:val="00DB747A"/>
    <w:rsid w:val="00DD2250"/>
    <w:rsid w:val="00DD52EB"/>
    <w:rsid w:val="00DE1B17"/>
    <w:rsid w:val="00DE22EC"/>
    <w:rsid w:val="00DE6EF6"/>
    <w:rsid w:val="00DE72A8"/>
    <w:rsid w:val="00DE7741"/>
    <w:rsid w:val="00DF1C22"/>
    <w:rsid w:val="00DF4A5A"/>
    <w:rsid w:val="00DF636F"/>
    <w:rsid w:val="00DF7233"/>
    <w:rsid w:val="00E00D29"/>
    <w:rsid w:val="00E0301D"/>
    <w:rsid w:val="00E122D2"/>
    <w:rsid w:val="00E15123"/>
    <w:rsid w:val="00E15B0E"/>
    <w:rsid w:val="00E17E7B"/>
    <w:rsid w:val="00E23E5D"/>
    <w:rsid w:val="00E27FCB"/>
    <w:rsid w:val="00E35C24"/>
    <w:rsid w:val="00E3679A"/>
    <w:rsid w:val="00E441BF"/>
    <w:rsid w:val="00E4497B"/>
    <w:rsid w:val="00E45AF4"/>
    <w:rsid w:val="00E623DC"/>
    <w:rsid w:val="00E64072"/>
    <w:rsid w:val="00E818E3"/>
    <w:rsid w:val="00E82501"/>
    <w:rsid w:val="00E8734D"/>
    <w:rsid w:val="00E9125C"/>
    <w:rsid w:val="00E92319"/>
    <w:rsid w:val="00E9417D"/>
    <w:rsid w:val="00E9606A"/>
    <w:rsid w:val="00EA0483"/>
    <w:rsid w:val="00EA381F"/>
    <w:rsid w:val="00EB03E4"/>
    <w:rsid w:val="00EB14D6"/>
    <w:rsid w:val="00EB5B4B"/>
    <w:rsid w:val="00EB7EE7"/>
    <w:rsid w:val="00ED5A31"/>
    <w:rsid w:val="00ED5FB9"/>
    <w:rsid w:val="00EF5604"/>
    <w:rsid w:val="00EF5F56"/>
    <w:rsid w:val="00F01289"/>
    <w:rsid w:val="00F014C8"/>
    <w:rsid w:val="00F01E27"/>
    <w:rsid w:val="00F04058"/>
    <w:rsid w:val="00F0458B"/>
    <w:rsid w:val="00F11F1B"/>
    <w:rsid w:val="00F206C9"/>
    <w:rsid w:val="00F270E1"/>
    <w:rsid w:val="00F27477"/>
    <w:rsid w:val="00F3121E"/>
    <w:rsid w:val="00F3156D"/>
    <w:rsid w:val="00F3558A"/>
    <w:rsid w:val="00F371E2"/>
    <w:rsid w:val="00F412EA"/>
    <w:rsid w:val="00F41EF9"/>
    <w:rsid w:val="00F51B7F"/>
    <w:rsid w:val="00F531D2"/>
    <w:rsid w:val="00F54E20"/>
    <w:rsid w:val="00F77201"/>
    <w:rsid w:val="00F90FD6"/>
    <w:rsid w:val="00F925EA"/>
    <w:rsid w:val="00FB312A"/>
    <w:rsid w:val="00FB366B"/>
    <w:rsid w:val="00FC0F78"/>
    <w:rsid w:val="00FC3F9C"/>
    <w:rsid w:val="00FE20EA"/>
    <w:rsid w:val="00FE51B5"/>
    <w:rsid w:val="00FF5B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5D"/>
  </w:style>
  <w:style w:type="paragraph" w:styleId="Heading1">
    <w:name w:val="heading 1"/>
    <w:basedOn w:val="Normal"/>
    <w:next w:val="Normal"/>
    <w:link w:val="Heading1Char"/>
    <w:qFormat/>
    <w:rsid w:val="007F7703"/>
    <w:pPr>
      <w:keepNext/>
      <w:spacing w:after="0" w:line="240" w:lineRule="auto"/>
      <w:outlineLvl w:val="0"/>
    </w:pPr>
    <w:rPr>
      <w:rFonts w:ascii="Calibri" w:eastAsia="Times New Roman" w:hAnsi="Calibri" w:cs="Times New Roman"/>
      <w:b/>
      <w:sz w:val="28"/>
      <w:szCs w:val="20"/>
      <w:lang w:eastAsia="en-US"/>
    </w:rPr>
  </w:style>
  <w:style w:type="paragraph" w:styleId="Heading2">
    <w:name w:val="heading 2"/>
    <w:basedOn w:val="Normal"/>
    <w:next w:val="Normal"/>
    <w:link w:val="Heading2Char"/>
    <w:uiPriority w:val="9"/>
    <w:unhideWhenUsed/>
    <w:qFormat/>
    <w:rsid w:val="007E3228"/>
    <w:pPr>
      <w:keepNext/>
      <w:keepLines/>
      <w:spacing w:before="200" w:after="0"/>
      <w:outlineLvl w:val="1"/>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7F7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E6"/>
    <w:rPr>
      <w:rFonts w:ascii="Tahoma" w:hAnsi="Tahoma" w:cs="Tahoma"/>
      <w:sz w:val="16"/>
      <w:szCs w:val="16"/>
    </w:rPr>
  </w:style>
  <w:style w:type="paragraph" w:styleId="FootnoteText">
    <w:name w:val="footnote text"/>
    <w:aliases w:val=" Car Car, Char, Char3 Char Char, Char3 Char,Car Car"/>
    <w:basedOn w:val="Normal"/>
    <w:link w:val="FootnoteTextChar"/>
    <w:rsid w:val="007F77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ar Car Char, Char Char, Char3 Char Char Char, Char3 Char Char1,Car Car Char"/>
    <w:basedOn w:val="DefaultParagraphFont"/>
    <w:link w:val="FootnoteText"/>
    <w:rsid w:val="007F7703"/>
    <w:rPr>
      <w:rFonts w:ascii="Times New Roman" w:eastAsia="Times New Roman" w:hAnsi="Times New Roman" w:cs="Times New Roman"/>
      <w:sz w:val="20"/>
      <w:szCs w:val="20"/>
    </w:rPr>
  </w:style>
  <w:style w:type="character" w:styleId="FootnoteReference">
    <w:name w:val="footnote reference"/>
    <w:aliases w:val="Footnote symbol"/>
    <w:basedOn w:val="DefaultParagraphFont"/>
    <w:rsid w:val="007F7703"/>
    <w:rPr>
      <w:vertAlign w:val="superscript"/>
    </w:rPr>
  </w:style>
  <w:style w:type="character" w:styleId="Hyperlink">
    <w:name w:val="Hyperlink"/>
    <w:basedOn w:val="DefaultParagraphFont"/>
    <w:uiPriority w:val="99"/>
    <w:rsid w:val="007F7703"/>
    <w:rPr>
      <w:color w:val="0000FF"/>
      <w:u w:val="single"/>
    </w:rPr>
  </w:style>
  <w:style w:type="character" w:customStyle="1" w:styleId="Heading1Char">
    <w:name w:val="Heading 1 Char"/>
    <w:basedOn w:val="DefaultParagraphFont"/>
    <w:link w:val="Heading1"/>
    <w:rsid w:val="007F7703"/>
    <w:rPr>
      <w:rFonts w:ascii="Calibri" w:eastAsia="Times New Roman" w:hAnsi="Calibri" w:cs="Times New Roman"/>
      <w:b/>
      <w:sz w:val="28"/>
      <w:szCs w:val="20"/>
      <w:lang w:eastAsia="en-US"/>
    </w:rPr>
  </w:style>
  <w:style w:type="character" w:customStyle="1" w:styleId="apple-style-span">
    <w:name w:val="apple-style-span"/>
    <w:basedOn w:val="DefaultParagraphFont"/>
    <w:rsid w:val="007F7703"/>
  </w:style>
  <w:style w:type="character" w:styleId="Strong">
    <w:name w:val="Strong"/>
    <w:basedOn w:val="DefaultParagraphFont"/>
    <w:uiPriority w:val="22"/>
    <w:qFormat/>
    <w:rsid w:val="007F7703"/>
    <w:rPr>
      <w:b/>
      <w:bCs/>
    </w:rPr>
  </w:style>
  <w:style w:type="paragraph" w:styleId="ListParagraph">
    <w:name w:val="List Paragraph"/>
    <w:basedOn w:val="Normal"/>
    <w:uiPriority w:val="34"/>
    <w:qFormat/>
    <w:rsid w:val="007F7703"/>
    <w:pPr>
      <w:ind w:left="720"/>
      <w:contextualSpacing/>
    </w:pPr>
    <w:rPr>
      <w:rFonts w:eastAsiaTheme="minorHAnsi"/>
      <w:lang w:eastAsia="en-US"/>
    </w:rPr>
  </w:style>
  <w:style w:type="character" w:customStyle="1" w:styleId="Heading4Char">
    <w:name w:val="Heading 4 Char"/>
    <w:basedOn w:val="DefaultParagraphFont"/>
    <w:link w:val="Heading4"/>
    <w:uiPriority w:val="9"/>
    <w:rsid w:val="007F7703"/>
    <w:rPr>
      <w:rFonts w:asciiTheme="majorHAnsi" w:eastAsiaTheme="majorEastAsia" w:hAnsiTheme="majorHAnsi" w:cstheme="majorBidi"/>
      <w:b/>
      <w:bCs/>
      <w:i/>
      <w:iCs/>
      <w:color w:val="4F81BD" w:themeColor="accent1"/>
    </w:rPr>
  </w:style>
  <w:style w:type="table" w:styleId="TableGrid">
    <w:name w:val="Table Grid"/>
    <w:basedOn w:val="TableNormal"/>
    <w:rsid w:val="007F77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Normal"/>
    <w:rsid w:val="007F770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9">
    <w:name w:val="Font Style59"/>
    <w:basedOn w:val="DefaultParagraphFont"/>
    <w:rsid w:val="007F7703"/>
    <w:rPr>
      <w:rFonts w:ascii="Times New Roman" w:hAnsi="Times New Roman" w:cs="Times New Roman"/>
      <w:b/>
      <w:bCs/>
      <w:sz w:val="24"/>
      <w:szCs w:val="24"/>
    </w:rPr>
  </w:style>
  <w:style w:type="character" w:customStyle="1" w:styleId="FontStyle66">
    <w:name w:val="Font Style66"/>
    <w:basedOn w:val="DefaultParagraphFont"/>
    <w:rsid w:val="007F7703"/>
    <w:rPr>
      <w:rFonts w:ascii="Times New Roman" w:hAnsi="Times New Roman" w:cs="Times New Roman"/>
      <w:sz w:val="18"/>
      <w:szCs w:val="18"/>
    </w:rPr>
  </w:style>
  <w:style w:type="character" w:customStyle="1" w:styleId="FontStyle116">
    <w:name w:val="Font Style116"/>
    <w:basedOn w:val="DefaultParagraphFont"/>
    <w:rsid w:val="007F7703"/>
    <w:rPr>
      <w:rFonts w:ascii="Times New Roman" w:hAnsi="Times New Roman" w:cs="Times New Roman"/>
      <w:sz w:val="20"/>
      <w:szCs w:val="20"/>
    </w:rPr>
  </w:style>
  <w:style w:type="character" w:customStyle="1" w:styleId="FontStyle107">
    <w:name w:val="Font Style107"/>
    <w:basedOn w:val="DefaultParagraphFont"/>
    <w:rsid w:val="007F7703"/>
    <w:rPr>
      <w:rFonts w:ascii="Times New Roman" w:hAnsi="Times New Roman" w:cs="Times New Roman"/>
      <w:i/>
      <w:iCs/>
      <w:sz w:val="20"/>
      <w:szCs w:val="20"/>
    </w:rPr>
  </w:style>
  <w:style w:type="character" w:customStyle="1" w:styleId="FontStyle114">
    <w:name w:val="Font Style114"/>
    <w:basedOn w:val="DefaultParagraphFont"/>
    <w:rsid w:val="007F7703"/>
    <w:rPr>
      <w:rFonts w:ascii="Times New Roman" w:hAnsi="Times New Roman" w:cs="Times New Roman"/>
      <w:b/>
      <w:bCs/>
      <w:i/>
      <w:iCs/>
      <w:sz w:val="20"/>
      <w:szCs w:val="20"/>
    </w:rPr>
  </w:style>
  <w:style w:type="paragraph" w:styleId="NoSpacing">
    <w:name w:val="No Spacing"/>
    <w:qFormat/>
    <w:rsid w:val="007F7703"/>
    <w:pPr>
      <w:spacing w:after="0" w:line="240" w:lineRule="auto"/>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3228"/>
    <w:rPr>
      <w:rFonts w:eastAsiaTheme="majorEastAsia" w:cstheme="majorBidi"/>
      <w:b/>
      <w:bCs/>
      <w:sz w:val="24"/>
      <w:szCs w:val="26"/>
    </w:rPr>
  </w:style>
  <w:style w:type="paragraph" w:styleId="TOCHeading">
    <w:name w:val="TOC Heading"/>
    <w:basedOn w:val="Heading1"/>
    <w:next w:val="Normal"/>
    <w:uiPriority w:val="39"/>
    <w:unhideWhenUsed/>
    <w:qFormat/>
    <w:rsid w:val="0070126D"/>
    <w:pPr>
      <w:keepLines/>
      <w:spacing w:before="480" w:line="276" w:lineRule="auto"/>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70126D"/>
    <w:pPr>
      <w:spacing w:after="100"/>
    </w:pPr>
  </w:style>
  <w:style w:type="paragraph" w:styleId="TOC2">
    <w:name w:val="toc 2"/>
    <w:basedOn w:val="Normal"/>
    <w:next w:val="Normal"/>
    <w:autoRedefine/>
    <w:uiPriority w:val="39"/>
    <w:unhideWhenUsed/>
    <w:rsid w:val="0070126D"/>
    <w:pPr>
      <w:spacing w:after="100"/>
      <w:ind w:left="220"/>
    </w:pPr>
  </w:style>
  <w:style w:type="character" w:styleId="FollowedHyperlink">
    <w:name w:val="FollowedHyperlink"/>
    <w:basedOn w:val="DefaultParagraphFont"/>
    <w:uiPriority w:val="99"/>
    <w:semiHidden/>
    <w:unhideWhenUsed/>
    <w:rsid w:val="00D52B5D"/>
    <w:rPr>
      <w:color w:val="800080" w:themeColor="followedHyperlink"/>
      <w:u w:val="single"/>
    </w:rPr>
  </w:style>
  <w:style w:type="paragraph" w:styleId="NormalWeb">
    <w:name w:val="Normal (Web)"/>
    <w:basedOn w:val="Normal"/>
    <w:uiPriority w:val="99"/>
    <w:unhideWhenUsed/>
    <w:rsid w:val="00E030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08EE"/>
    <w:rPr>
      <w:sz w:val="16"/>
      <w:szCs w:val="16"/>
    </w:rPr>
  </w:style>
  <w:style w:type="paragraph" w:styleId="CommentText">
    <w:name w:val="annotation text"/>
    <w:basedOn w:val="Normal"/>
    <w:link w:val="CommentTextChar"/>
    <w:uiPriority w:val="99"/>
    <w:semiHidden/>
    <w:unhideWhenUsed/>
    <w:rsid w:val="002C08EE"/>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2C08EE"/>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B7DAB"/>
    <w:rPr>
      <w:rFonts w:eastAsiaTheme="minorEastAsia"/>
      <w:b/>
      <w:bCs/>
      <w:lang w:val="bg-BG" w:eastAsia="bg-BG"/>
    </w:rPr>
  </w:style>
  <w:style w:type="character" w:customStyle="1" w:styleId="CommentSubjectChar">
    <w:name w:val="Comment Subject Char"/>
    <w:basedOn w:val="CommentTextChar"/>
    <w:link w:val="CommentSubject"/>
    <w:uiPriority w:val="99"/>
    <w:semiHidden/>
    <w:rsid w:val="002B7DAB"/>
    <w:rPr>
      <w:rFonts w:eastAsiaTheme="minorHAnsi"/>
      <w:b/>
      <w:bCs/>
      <w:sz w:val="20"/>
      <w:szCs w:val="20"/>
      <w:lang w:val="en-US" w:eastAsia="en-US"/>
    </w:rPr>
  </w:style>
  <w:style w:type="paragraph" w:styleId="Header">
    <w:name w:val="header"/>
    <w:basedOn w:val="Normal"/>
    <w:link w:val="HeaderChar"/>
    <w:uiPriority w:val="99"/>
    <w:unhideWhenUsed/>
    <w:rsid w:val="00F92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5EA"/>
  </w:style>
  <w:style w:type="paragraph" w:styleId="Footer">
    <w:name w:val="footer"/>
    <w:basedOn w:val="Normal"/>
    <w:link w:val="FooterChar"/>
    <w:uiPriority w:val="99"/>
    <w:unhideWhenUsed/>
    <w:rsid w:val="00F92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5EA"/>
  </w:style>
  <w:style w:type="paragraph" w:customStyle="1" w:styleId="CharChar1CharCharCharChar">
    <w:name w:val="Char Char1 Char Char Char Char"/>
    <w:basedOn w:val="Normal"/>
    <w:rsid w:val="003A3148"/>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3573">
      <w:bodyDiv w:val="1"/>
      <w:marLeft w:val="0"/>
      <w:marRight w:val="0"/>
      <w:marTop w:val="0"/>
      <w:marBottom w:val="0"/>
      <w:divBdr>
        <w:top w:val="none" w:sz="0" w:space="0" w:color="auto"/>
        <w:left w:val="none" w:sz="0" w:space="0" w:color="auto"/>
        <w:bottom w:val="none" w:sz="0" w:space="0" w:color="auto"/>
        <w:right w:val="none" w:sz="0" w:space="0" w:color="auto"/>
      </w:divBdr>
    </w:div>
    <w:div w:id="211819270">
      <w:bodyDiv w:val="1"/>
      <w:marLeft w:val="0"/>
      <w:marRight w:val="0"/>
      <w:marTop w:val="0"/>
      <w:marBottom w:val="0"/>
      <w:divBdr>
        <w:top w:val="none" w:sz="0" w:space="0" w:color="auto"/>
        <w:left w:val="none" w:sz="0" w:space="0" w:color="auto"/>
        <w:bottom w:val="none" w:sz="0" w:space="0" w:color="auto"/>
        <w:right w:val="none" w:sz="0" w:space="0" w:color="auto"/>
      </w:divBdr>
    </w:div>
    <w:div w:id="351490158">
      <w:bodyDiv w:val="1"/>
      <w:marLeft w:val="0"/>
      <w:marRight w:val="0"/>
      <w:marTop w:val="0"/>
      <w:marBottom w:val="0"/>
      <w:divBdr>
        <w:top w:val="none" w:sz="0" w:space="0" w:color="auto"/>
        <w:left w:val="none" w:sz="0" w:space="0" w:color="auto"/>
        <w:bottom w:val="none" w:sz="0" w:space="0" w:color="auto"/>
        <w:right w:val="none" w:sz="0" w:space="0" w:color="auto"/>
      </w:divBdr>
    </w:div>
    <w:div w:id="377054321">
      <w:bodyDiv w:val="1"/>
      <w:marLeft w:val="0"/>
      <w:marRight w:val="0"/>
      <w:marTop w:val="0"/>
      <w:marBottom w:val="0"/>
      <w:divBdr>
        <w:top w:val="none" w:sz="0" w:space="0" w:color="auto"/>
        <w:left w:val="none" w:sz="0" w:space="0" w:color="auto"/>
        <w:bottom w:val="none" w:sz="0" w:space="0" w:color="auto"/>
        <w:right w:val="none" w:sz="0" w:space="0" w:color="auto"/>
      </w:divBdr>
    </w:div>
    <w:div w:id="762650796">
      <w:bodyDiv w:val="1"/>
      <w:marLeft w:val="0"/>
      <w:marRight w:val="0"/>
      <w:marTop w:val="0"/>
      <w:marBottom w:val="0"/>
      <w:divBdr>
        <w:top w:val="none" w:sz="0" w:space="0" w:color="auto"/>
        <w:left w:val="none" w:sz="0" w:space="0" w:color="auto"/>
        <w:bottom w:val="none" w:sz="0" w:space="0" w:color="auto"/>
        <w:right w:val="none" w:sz="0" w:space="0" w:color="auto"/>
      </w:divBdr>
    </w:div>
    <w:div w:id="1032877416">
      <w:bodyDiv w:val="1"/>
      <w:marLeft w:val="0"/>
      <w:marRight w:val="0"/>
      <w:marTop w:val="0"/>
      <w:marBottom w:val="0"/>
      <w:divBdr>
        <w:top w:val="none" w:sz="0" w:space="0" w:color="auto"/>
        <w:left w:val="none" w:sz="0" w:space="0" w:color="auto"/>
        <w:bottom w:val="none" w:sz="0" w:space="0" w:color="auto"/>
        <w:right w:val="none" w:sz="0" w:space="0" w:color="auto"/>
      </w:divBdr>
    </w:div>
    <w:div w:id="1272740246">
      <w:bodyDiv w:val="1"/>
      <w:marLeft w:val="0"/>
      <w:marRight w:val="0"/>
      <w:marTop w:val="0"/>
      <w:marBottom w:val="0"/>
      <w:divBdr>
        <w:top w:val="none" w:sz="0" w:space="0" w:color="auto"/>
        <w:left w:val="none" w:sz="0" w:space="0" w:color="auto"/>
        <w:bottom w:val="none" w:sz="0" w:space="0" w:color="auto"/>
        <w:right w:val="none" w:sz="0" w:space="0" w:color="auto"/>
      </w:divBdr>
    </w:div>
    <w:div w:id="1274021166">
      <w:bodyDiv w:val="1"/>
      <w:marLeft w:val="0"/>
      <w:marRight w:val="0"/>
      <w:marTop w:val="0"/>
      <w:marBottom w:val="0"/>
      <w:divBdr>
        <w:top w:val="none" w:sz="0" w:space="0" w:color="auto"/>
        <w:left w:val="none" w:sz="0" w:space="0" w:color="auto"/>
        <w:bottom w:val="none" w:sz="0" w:space="0" w:color="auto"/>
        <w:right w:val="none" w:sz="0" w:space="0" w:color="auto"/>
      </w:divBdr>
    </w:div>
    <w:div w:id="1360811685">
      <w:bodyDiv w:val="1"/>
      <w:marLeft w:val="0"/>
      <w:marRight w:val="0"/>
      <w:marTop w:val="0"/>
      <w:marBottom w:val="0"/>
      <w:divBdr>
        <w:top w:val="none" w:sz="0" w:space="0" w:color="auto"/>
        <w:left w:val="none" w:sz="0" w:space="0" w:color="auto"/>
        <w:bottom w:val="none" w:sz="0" w:space="0" w:color="auto"/>
        <w:right w:val="none" w:sz="0" w:space="0" w:color="auto"/>
      </w:divBdr>
    </w:div>
    <w:div w:id="1689134433">
      <w:bodyDiv w:val="1"/>
      <w:marLeft w:val="0"/>
      <w:marRight w:val="0"/>
      <w:marTop w:val="0"/>
      <w:marBottom w:val="0"/>
      <w:divBdr>
        <w:top w:val="none" w:sz="0" w:space="0" w:color="auto"/>
        <w:left w:val="none" w:sz="0" w:space="0" w:color="auto"/>
        <w:bottom w:val="none" w:sz="0" w:space="0" w:color="auto"/>
        <w:right w:val="none" w:sz="0" w:space="0" w:color="auto"/>
      </w:divBdr>
    </w:div>
    <w:div w:id="1753312394">
      <w:bodyDiv w:val="1"/>
      <w:marLeft w:val="0"/>
      <w:marRight w:val="0"/>
      <w:marTop w:val="0"/>
      <w:marBottom w:val="0"/>
      <w:divBdr>
        <w:top w:val="none" w:sz="0" w:space="0" w:color="auto"/>
        <w:left w:val="none" w:sz="0" w:space="0" w:color="auto"/>
        <w:bottom w:val="none" w:sz="0" w:space="0" w:color="auto"/>
        <w:right w:val="none" w:sz="0" w:space="0" w:color="auto"/>
      </w:divBdr>
    </w:div>
    <w:div w:id="1767384429">
      <w:bodyDiv w:val="1"/>
      <w:marLeft w:val="0"/>
      <w:marRight w:val="0"/>
      <w:marTop w:val="0"/>
      <w:marBottom w:val="0"/>
      <w:divBdr>
        <w:top w:val="none" w:sz="0" w:space="0" w:color="auto"/>
        <w:left w:val="none" w:sz="0" w:space="0" w:color="auto"/>
        <w:bottom w:val="none" w:sz="0" w:space="0" w:color="auto"/>
        <w:right w:val="none" w:sz="0" w:space="0" w:color="auto"/>
      </w:divBdr>
    </w:div>
    <w:div w:id="2069572583">
      <w:bodyDiv w:val="1"/>
      <w:marLeft w:val="0"/>
      <w:marRight w:val="0"/>
      <w:marTop w:val="0"/>
      <w:marBottom w:val="0"/>
      <w:divBdr>
        <w:top w:val="none" w:sz="0" w:space="0" w:color="auto"/>
        <w:left w:val="none" w:sz="0" w:space="0" w:color="auto"/>
        <w:bottom w:val="none" w:sz="0" w:space="0" w:color="auto"/>
        <w:right w:val="none" w:sz="0" w:space="0" w:color="auto"/>
      </w:divBdr>
      <w:divsChild>
        <w:div w:id="929578917">
          <w:marLeft w:val="547"/>
          <w:marRight w:val="0"/>
          <w:marTop w:val="0"/>
          <w:marBottom w:val="0"/>
          <w:divBdr>
            <w:top w:val="none" w:sz="0" w:space="0" w:color="auto"/>
            <w:left w:val="none" w:sz="0" w:space="0" w:color="auto"/>
            <w:bottom w:val="none" w:sz="0" w:space="0" w:color="auto"/>
            <w:right w:val="none" w:sz="0" w:space="0" w:color="auto"/>
          </w:divBdr>
        </w:div>
        <w:div w:id="1022585328">
          <w:marLeft w:val="547"/>
          <w:marRight w:val="0"/>
          <w:marTop w:val="0"/>
          <w:marBottom w:val="0"/>
          <w:divBdr>
            <w:top w:val="none" w:sz="0" w:space="0" w:color="auto"/>
            <w:left w:val="none" w:sz="0" w:space="0" w:color="auto"/>
            <w:bottom w:val="none" w:sz="0" w:space="0" w:color="auto"/>
            <w:right w:val="none" w:sz="0" w:space="0" w:color="auto"/>
          </w:divBdr>
        </w:div>
        <w:div w:id="1147169667">
          <w:marLeft w:val="547"/>
          <w:marRight w:val="0"/>
          <w:marTop w:val="0"/>
          <w:marBottom w:val="0"/>
          <w:divBdr>
            <w:top w:val="none" w:sz="0" w:space="0" w:color="auto"/>
            <w:left w:val="none" w:sz="0" w:space="0" w:color="auto"/>
            <w:bottom w:val="none" w:sz="0" w:space="0" w:color="auto"/>
            <w:right w:val="none" w:sz="0" w:space="0" w:color="auto"/>
          </w:divBdr>
        </w:div>
        <w:div w:id="704906155">
          <w:marLeft w:val="547"/>
          <w:marRight w:val="0"/>
          <w:marTop w:val="0"/>
          <w:marBottom w:val="0"/>
          <w:divBdr>
            <w:top w:val="none" w:sz="0" w:space="0" w:color="auto"/>
            <w:left w:val="none" w:sz="0" w:space="0" w:color="auto"/>
            <w:bottom w:val="none" w:sz="0" w:space="0" w:color="auto"/>
            <w:right w:val="none" w:sz="0" w:space="0" w:color="auto"/>
          </w:divBdr>
        </w:div>
        <w:div w:id="1367876718">
          <w:marLeft w:val="547"/>
          <w:marRight w:val="0"/>
          <w:marTop w:val="0"/>
          <w:marBottom w:val="0"/>
          <w:divBdr>
            <w:top w:val="none" w:sz="0" w:space="0" w:color="auto"/>
            <w:left w:val="none" w:sz="0" w:space="0" w:color="auto"/>
            <w:bottom w:val="none" w:sz="0" w:space="0" w:color="auto"/>
            <w:right w:val="none" w:sz="0" w:space="0" w:color="auto"/>
          </w:divBdr>
        </w:div>
        <w:div w:id="816729718">
          <w:marLeft w:val="547"/>
          <w:marRight w:val="0"/>
          <w:marTop w:val="0"/>
          <w:marBottom w:val="0"/>
          <w:divBdr>
            <w:top w:val="none" w:sz="0" w:space="0" w:color="auto"/>
            <w:left w:val="none" w:sz="0" w:space="0" w:color="auto"/>
            <w:bottom w:val="none" w:sz="0" w:space="0" w:color="auto"/>
            <w:right w:val="none" w:sz="0" w:space="0" w:color="auto"/>
          </w:divBdr>
        </w:div>
        <w:div w:id="471215874">
          <w:marLeft w:val="547"/>
          <w:marRight w:val="0"/>
          <w:marTop w:val="0"/>
          <w:marBottom w:val="0"/>
          <w:divBdr>
            <w:top w:val="none" w:sz="0" w:space="0" w:color="auto"/>
            <w:left w:val="none" w:sz="0" w:space="0" w:color="auto"/>
            <w:bottom w:val="none" w:sz="0" w:space="0" w:color="auto"/>
            <w:right w:val="none" w:sz="0" w:space="0" w:color="auto"/>
          </w:divBdr>
        </w:div>
        <w:div w:id="28920368">
          <w:marLeft w:val="547"/>
          <w:marRight w:val="0"/>
          <w:marTop w:val="0"/>
          <w:marBottom w:val="0"/>
          <w:divBdr>
            <w:top w:val="none" w:sz="0" w:space="0" w:color="auto"/>
            <w:left w:val="none" w:sz="0" w:space="0" w:color="auto"/>
            <w:bottom w:val="none" w:sz="0" w:space="0" w:color="auto"/>
            <w:right w:val="none" w:sz="0" w:space="0" w:color="auto"/>
          </w:divBdr>
        </w:div>
        <w:div w:id="809903232">
          <w:marLeft w:val="547"/>
          <w:marRight w:val="0"/>
          <w:marTop w:val="0"/>
          <w:marBottom w:val="0"/>
          <w:divBdr>
            <w:top w:val="none" w:sz="0" w:space="0" w:color="auto"/>
            <w:left w:val="none" w:sz="0" w:space="0" w:color="auto"/>
            <w:bottom w:val="none" w:sz="0" w:space="0" w:color="auto"/>
            <w:right w:val="none" w:sz="0" w:space="0" w:color="auto"/>
          </w:divBdr>
        </w:div>
        <w:div w:id="1432552327">
          <w:marLeft w:val="547"/>
          <w:marRight w:val="0"/>
          <w:marTop w:val="0"/>
          <w:marBottom w:val="0"/>
          <w:divBdr>
            <w:top w:val="none" w:sz="0" w:space="0" w:color="auto"/>
            <w:left w:val="none" w:sz="0" w:space="0" w:color="auto"/>
            <w:bottom w:val="none" w:sz="0" w:space="0" w:color="auto"/>
            <w:right w:val="none" w:sz="0" w:space="0" w:color="auto"/>
          </w:divBdr>
        </w:div>
        <w:div w:id="1647130133">
          <w:marLeft w:val="547"/>
          <w:marRight w:val="0"/>
          <w:marTop w:val="0"/>
          <w:marBottom w:val="0"/>
          <w:divBdr>
            <w:top w:val="none" w:sz="0" w:space="0" w:color="auto"/>
            <w:left w:val="none" w:sz="0" w:space="0" w:color="auto"/>
            <w:bottom w:val="none" w:sz="0" w:space="0" w:color="auto"/>
            <w:right w:val="none" w:sz="0" w:space="0" w:color="auto"/>
          </w:divBdr>
        </w:div>
        <w:div w:id="1279263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ime.bg/var/images/Success_Failure_1998_2011_Final.pdf" TargetMode="External"/><Relationship Id="rId26" Type="http://schemas.openxmlformats.org/officeDocument/2006/relationships/hyperlink" Target="https://ime.bg/bg/articles/public_fin/" TargetMode="External"/><Relationship Id="rId39" Type="http://schemas.openxmlformats.org/officeDocument/2006/relationships/chart" Target="charts/chart8.xml"/><Relationship Id="rId21" Type="http://schemas.openxmlformats.org/officeDocument/2006/relationships/hyperlink" Target="https://chernakniga.bg/" TargetMode="External"/><Relationship Id="rId34" Type="http://schemas.openxmlformats.org/officeDocument/2006/relationships/chart" Target="charts/chart3.xml"/><Relationship Id="rId42" Type="http://schemas.openxmlformats.org/officeDocument/2006/relationships/hyperlink" Target="https://www.bulnao.government.bg/bg/articles/download/13431/od-mtits-0919.pdf" TargetMode="External"/><Relationship Id="rId47" Type="http://schemas.openxmlformats.org/officeDocument/2006/relationships/hyperlink" Target="https://www.bulnao.government.bg/bg/articles/download/12275/od-nkn-060319.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e.bg/var/images/Government_Failure2017.pdf" TargetMode="External"/><Relationship Id="rId29" Type="http://schemas.openxmlformats.org/officeDocument/2006/relationships/diagramData" Target="diagrams/data1.xml"/><Relationship Id="rId11" Type="http://schemas.openxmlformats.org/officeDocument/2006/relationships/image" Target="media/image3.jpeg"/><Relationship Id="rId24" Type="http://schemas.openxmlformats.org/officeDocument/2006/relationships/hyperlink" Target="https://socialchangebg.info/bg" TargetMode="External"/><Relationship Id="rId32" Type="http://schemas.openxmlformats.org/officeDocument/2006/relationships/diagramColors" Target="diagrams/colors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hyperlink" Target="https://www.bulnao.government.bg/bg/articles/download/10889/Doklad_Nat_bibl_inet1.doc" TargetMode="External"/><Relationship Id="rId5" Type="http://schemas.openxmlformats.org/officeDocument/2006/relationships/webSettings" Target="webSettings.xml"/><Relationship Id="rId15" Type="http://schemas.openxmlformats.org/officeDocument/2006/relationships/hyperlink" Target="https://ime.bg/var/images/IME-Gov-Failure-2019.pdf" TargetMode="External"/><Relationship Id="rId23" Type="http://schemas.openxmlformats.org/officeDocument/2006/relationships/hyperlink" Target="https://ime.bg/bg/articles/ime_economic_freedom/" TargetMode="External"/><Relationship Id="rId28" Type="http://schemas.openxmlformats.org/officeDocument/2006/relationships/image" Target="media/image4.png"/><Relationship Id="rId36" Type="http://schemas.openxmlformats.org/officeDocument/2006/relationships/chart" Target="charts/chart5.xml"/><Relationship Id="rId49" Type="http://schemas.openxmlformats.org/officeDocument/2006/relationships/fontTable" Target="fontTable.xml"/><Relationship Id="rId10" Type="http://schemas.openxmlformats.org/officeDocument/2006/relationships/hyperlink" Target="http://www.ime.bg/" TargetMode="External"/><Relationship Id="rId19" Type="http://schemas.openxmlformats.org/officeDocument/2006/relationships/hyperlink" Target="http://ime.bg/var/images/Final_FEB_15_2011.pdf" TargetMode="External"/><Relationship Id="rId31" Type="http://schemas.openxmlformats.org/officeDocument/2006/relationships/diagramQuickStyle" Target="diagrams/quickStyle1.xml"/><Relationship Id="rId44"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fin.bg/upload/46395/BUDGET_2021_final-22-12-2020+pages.pdf" TargetMode="External"/><Relationship Id="rId22" Type="http://schemas.openxmlformats.org/officeDocument/2006/relationships/hyperlink" Target="https://ime.bg/bg/articles/2021-ikonomieskata-svoboda-v-bylgariya-e-v-zastoi/" TargetMode="External"/><Relationship Id="rId27" Type="http://schemas.openxmlformats.org/officeDocument/2006/relationships/hyperlink" Target="https://ime.bg/bg/articles/populistkite-politiki-i-efektite-vyrhu-predpriemaestvoto/" TargetMode="External"/><Relationship Id="rId30" Type="http://schemas.openxmlformats.org/officeDocument/2006/relationships/diagramLayout" Target="diagrams/layout1.xml"/><Relationship Id="rId35" Type="http://schemas.openxmlformats.org/officeDocument/2006/relationships/chart" Target="charts/chart4.xml"/><Relationship Id="rId43" Type="http://schemas.openxmlformats.org/officeDocument/2006/relationships/hyperlink" Target="https://www.bulnao.government.bg/bg/articles/download/14139/OD_PatentV_0621.pdf"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ime.bg/var/images/Success_Failure_1998_2012_final.pdf" TargetMode="External"/><Relationship Id="rId25" Type="http://schemas.openxmlformats.org/officeDocument/2006/relationships/hyperlink" Target="https://www.kolkodavam.bg/" TargetMode="External"/><Relationship Id="rId33" Type="http://schemas.microsoft.com/office/2007/relationships/diagramDrawing" Target="diagrams/drawing1.xml"/><Relationship Id="rId38" Type="http://schemas.openxmlformats.org/officeDocument/2006/relationships/chart" Target="charts/chart7.xml"/><Relationship Id="rId46" Type="http://schemas.openxmlformats.org/officeDocument/2006/relationships/hyperlink" Target="https://www.bulnao.government.bg/bg/articles/download/13540/OD_Poverty_121020.pdf" TargetMode="External"/><Relationship Id="rId20" Type="http://schemas.openxmlformats.org/officeDocument/2006/relationships/hyperlink" Target="http://ime.bg/uploads/f9f2c2_SuccessVsFailure.pdf" TargetMode="External"/><Relationship Id="rId41" Type="http://schemas.openxmlformats.org/officeDocument/2006/relationships/hyperlink" Target="https://www.bulnao.government.bg/bg/articles/download/13463/od-nbpp-2008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oop.ime.bg/media/uploads/Razrezi_paper.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192.168.1.2\Common%20Files\PROJECTS\GovernmentFailure-2008-2021\2021\Government_Failure_2021_FINA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192.168.1.2\Common%20Files\PROJECTS\GovernmentFailure-2008-2021\2021\Government_Failure_2021_FINA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file:///\\192.168.1.2\Common%20Files\PROJECTS\GovernmentFailure-2008-2021\2021\Government_Failure_2021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[Government_Failure_2021_FINAL.xlsx]Графики!$G$5</c:f>
              <c:strCache>
                <c:ptCount val="1"/>
                <c:pt idx="0">
                  <c:v>брой</c:v>
                </c:pt>
              </c:strCache>
            </c:strRef>
          </c:tx>
          <c:dPt>
            <c:idx val="0"/>
            <c:bubble3D val="0"/>
            <c:spPr>
              <a:solidFill>
                <a:schemeClr val="accent2"/>
              </a:solidFill>
            </c:spPr>
            <c:extLst>
              <c:ext xmlns:c16="http://schemas.microsoft.com/office/drawing/2014/chart" uri="{C3380CC4-5D6E-409C-BE32-E72D297353CC}">
                <c16:uniqueId val="{00000001-C475-424D-BFF3-AD70A0D2FB1D}"/>
              </c:ext>
            </c:extLst>
          </c:dPt>
          <c:dPt>
            <c:idx val="1"/>
            <c:bubble3D val="0"/>
            <c:spPr>
              <a:solidFill>
                <a:schemeClr val="accent3"/>
              </a:solidFill>
            </c:spPr>
            <c:extLst>
              <c:ext xmlns:c16="http://schemas.microsoft.com/office/drawing/2014/chart" uri="{C3380CC4-5D6E-409C-BE32-E72D297353CC}">
                <c16:uniqueId val="{00000003-C475-424D-BFF3-AD70A0D2FB1D}"/>
              </c:ext>
            </c:extLst>
          </c:dPt>
          <c:dPt>
            <c:idx val="2"/>
            <c:bubble3D val="0"/>
            <c:spPr>
              <a:solidFill>
                <a:schemeClr val="bg1">
                  <a:lumMod val="65000"/>
                </a:schemeClr>
              </a:solidFill>
            </c:spPr>
            <c:extLst>
              <c:ext xmlns:c16="http://schemas.microsoft.com/office/drawing/2014/chart" uri="{C3380CC4-5D6E-409C-BE32-E72D297353CC}">
                <c16:uniqueId val="{00000005-C475-424D-BFF3-AD70A0D2FB1D}"/>
              </c:ext>
            </c:extLst>
          </c:dPt>
          <c:dLbls>
            <c:dLbl>
              <c:idx val="0"/>
              <c:layout>
                <c:manualLayout>
                  <c:x val="-4.539022717499297E-2"/>
                  <c:y val="-1.1684437017172956E-2"/>
                </c:manualLayout>
              </c:layout>
              <c:tx>
                <c:rich>
                  <a:bodyPr wrap="square" lIns="38100" tIns="19050" rIns="38100" bIns="19050" anchor="ctr">
                    <a:noAutofit/>
                  </a:bodyPr>
                  <a:lstStyle/>
                  <a:p>
                    <a:pPr>
                      <a:defRPr sz="900"/>
                    </a:pPr>
                    <a:fld id="{D53E918B-1219-455F-AF42-8263CC9D2D70}" type="CATEGORYNAME">
                      <a:rPr lang="bg-BG" sz="900"/>
                      <a:pPr>
                        <a:defRPr sz="900"/>
                      </a:pPr>
                      <a:t>[CATEGORY NAME]</a:t>
                    </a:fld>
                    <a:r>
                      <a:rPr lang="bg-BG" sz="900" baseline="0"/>
                      <a:t>
</a:t>
                    </a:r>
                    <a:fld id="{0E89A3B1-9D0A-47A3-9F87-480001417ADF}" type="VALUE">
                      <a:rPr lang="bg-BG" sz="900" baseline="0"/>
                      <a:pPr>
                        <a:defRPr sz="900"/>
                      </a:pPr>
                      <a:t>[VALUE]</a:t>
                    </a:fld>
                    <a:r>
                      <a:rPr lang="bg-BG" sz="900" baseline="0"/>
                      <a:t> доклада</a:t>
                    </a:r>
                  </a:p>
                </c:rich>
              </c:tx>
              <c:spPr>
                <a:solidFill>
                  <a:schemeClr val="bg1"/>
                </a:solidFill>
                <a:ln w="9525">
                  <a:solidFill>
                    <a:schemeClr val="accent2"/>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8540130788736151"/>
                      <c:h val="0.14086859902349383"/>
                    </c:manualLayout>
                  </c15:layout>
                  <c15:dlblFieldTable/>
                  <c15:showDataLabelsRange val="0"/>
                </c:ext>
                <c:ext xmlns:c16="http://schemas.microsoft.com/office/drawing/2014/chart" uri="{C3380CC4-5D6E-409C-BE32-E72D297353CC}">
                  <c16:uniqueId val="{00000001-C475-424D-BFF3-AD70A0D2FB1D}"/>
                </c:ext>
              </c:extLst>
            </c:dLbl>
            <c:dLbl>
              <c:idx val="1"/>
              <c:layout>
                <c:manualLayout>
                  <c:x val="6.500645046487831E-2"/>
                  <c:y val="-0.10063355377728395"/>
                </c:manualLayout>
              </c:layout>
              <c:tx>
                <c:rich>
                  <a:bodyPr wrap="square" lIns="38100" tIns="19050" rIns="38100" bIns="19050" anchor="ctr">
                    <a:noAutofit/>
                  </a:bodyPr>
                  <a:lstStyle/>
                  <a:p>
                    <a:pPr>
                      <a:defRPr sz="900"/>
                    </a:pPr>
                    <a:fld id="{573D4967-7C90-492B-8132-8FEDE47BD6E5}" type="CATEGORYNAME">
                      <a:rPr lang="bg-BG" sz="900"/>
                      <a:pPr>
                        <a:defRPr sz="900"/>
                      </a:pPr>
                      <a:t>[CATEGORY NAME]</a:t>
                    </a:fld>
                    <a:r>
                      <a:rPr lang="bg-BG" sz="900" baseline="0"/>
                      <a:t>
</a:t>
                    </a:r>
                    <a:fld id="{1AB64E4E-F42A-4B5D-A315-43A9BC9240C2}" type="VALUE">
                      <a:rPr lang="bg-BG" sz="900" baseline="0"/>
                      <a:pPr>
                        <a:defRPr sz="900"/>
                      </a:pPr>
                      <a:t>[VALUE]</a:t>
                    </a:fld>
                    <a:r>
                      <a:rPr lang="bg-BG" sz="900" baseline="0"/>
                      <a:t> доклада</a:t>
                    </a:r>
                  </a:p>
                </c:rich>
              </c:tx>
              <c:spPr>
                <a:solidFill>
                  <a:schemeClr val="bg1"/>
                </a:solidFill>
                <a:ln w="9525">
                  <a:solidFill>
                    <a:srgbClr val="92D050"/>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363841807909603"/>
                      <c:h val="0.14629600743597687"/>
                    </c:manualLayout>
                  </c15:layout>
                  <c15:dlblFieldTable/>
                  <c15:showDataLabelsRange val="0"/>
                </c:ext>
                <c:ext xmlns:c16="http://schemas.microsoft.com/office/drawing/2014/chart" uri="{C3380CC4-5D6E-409C-BE32-E72D297353CC}">
                  <c16:uniqueId val="{00000003-C475-424D-BFF3-AD70A0D2FB1D}"/>
                </c:ext>
              </c:extLst>
            </c:dLbl>
            <c:dLbl>
              <c:idx val="2"/>
              <c:layout>
                <c:manualLayout>
                  <c:x val="5.1740024510214429E-2"/>
                  <c:y val="0.12016747623305021"/>
                </c:manualLayout>
              </c:layout>
              <c:tx>
                <c:rich>
                  <a:bodyPr wrap="square" lIns="38100" tIns="19050" rIns="38100" bIns="19050" anchor="ctr">
                    <a:noAutofit/>
                  </a:bodyPr>
                  <a:lstStyle/>
                  <a:p>
                    <a:pPr>
                      <a:defRPr sz="900"/>
                    </a:pPr>
                    <a:fld id="{1AB9D45C-9BC7-40C4-AA20-5D3B7A38345E}" type="CATEGORYNAME">
                      <a:rPr lang="bg-BG" sz="900"/>
                      <a:pPr>
                        <a:defRPr sz="900"/>
                      </a:pPr>
                      <a:t>[CATEGORY NAME]</a:t>
                    </a:fld>
                    <a:r>
                      <a:rPr lang="bg-BG" sz="900" baseline="0"/>
                      <a:t>
</a:t>
                    </a:r>
                    <a:fld id="{AFBD037A-BC58-413B-AEC1-577A9C95A25E}" type="VALUE">
                      <a:rPr lang="bg-BG" sz="900" baseline="0"/>
                      <a:pPr>
                        <a:defRPr sz="900"/>
                      </a:pPr>
                      <a:t>[VALUE]</a:t>
                    </a:fld>
                    <a:r>
                      <a:rPr lang="bg-BG" sz="900" baseline="0"/>
                      <a:t> доклада</a:t>
                    </a:r>
                  </a:p>
                </c:rich>
              </c:tx>
              <c:spPr>
                <a:solidFill>
                  <a:schemeClr val="bg1"/>
                </a:solidFill>
                <a:ln w="9525">
                  <a:solidFill>
                    <a:schemeClr val="bg1">
                      <a:lumMod val="50000"/>
                    </a:schemeClr>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6615235637018489"/>
                      <c:h val="0.16270679206210029"/>
                    </c:manualLayout>
                  </c15:layout>
                  <c15:dlblFieldTable/>
                  <c15:showDataLabelsRange val="0"/>
                </c:ext>
                <c:ext xmlns:c16="http://schemas.microsoft.com/office/drawing/2014/chart" uri="{C3380CC4-5D6E-409C-BE32-E72D297353CC}">
                  <c16:uniqueId val="{00000005-C475-424D-BFF3-AD70A0D2FB1D}"/>
                </c:ext>
              </c:extLst>
            </c:dLbl>
            <c:spPr>
              <a:solidFill>
                <a:schemeClr val="bg1"/>
              </a:solidFill>
              <a:ln w="9525">
                <a:solidFill>
                  <a:srgbClr val="FFFF00"/>
                </a:solidFill>
              </a:ln>
              <a:effectLst/>
            </c:spPr>
            <c:txPr>
              <a:bodyPr wrap="square" lIns="38100" tIns="19050" rIns="38100" bIns="19050" anchor="ctr">
                <a:spAutoFit/>
              </a:bodyPr>
              <a:lstStyle/>
              <a:p>
                <a:pPr>
                  <a:defRPr sz="900"/>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Lit>
              <c:ptCount val="3"/>
              <c:pt idx="0">
                <c:v>Провали</c:v>
              </c:pt>
              <c:pt idx="1">
                <c:v>Успехи</c:v>
              </c:pt>
              <c:pt idx="2">
                <c:v>Некласифицирани</c:v>
              </c:pt>
            </c:strLit>
          </c:cat>
          <c:val>
            <c:numRef>
              <c:f>[Government_Failure_2021_FINAL.xlsx]Графики!$G$6:$G$8</c:f>
              <c:numCache>
                <c:formatCode>General</c:formatCode>
                <c:ptCount val="3"/>
                <c:pt idx="0">
                  <c:v>438</c:v>
                </c:pt>
                <c:pt idx="1">
                  <c:v>257</c:v>
                </c:pt>
                <c:pt idx="2">
                  <c:v>340</c:v>
                </c:pt>
              </c:numCache>
            </c:numRef>
          </c:val>
          <c:extLst>
            <c:ext xmlns:c16="http://schemas.microsoft.com/office/drawing/2014/chart" uri="{C3380CC4-5D6E-409C-BE32-E72D297353CC}">
              <c16:uniqueId val="{00000006-C475-424D-BFF3-AD70A0D2FB1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'[Government_Failure_2021_FINAL.xlsx]Графики (2)'!$A$5</c:f>
              <c:strCache>
                <c:ptCount val="1"/>
                <c:pt idx="0">
                  <c:v>Провал</c:v>
                </c:pt>
              </c:strCache>
            </c:strRef>
          </c:tx>
          <c:spPr>
            <a:solidFill>
              <a:schemeClr val="accent2"/>
            </a:solidFill>
          </c:spPr>
          <c:invertIfNegative val="0"/>
          <c:dLbls>
            <c:spPr>
              <a:solidFill>
                <a:sysClr val="window" lastClr="FFFFFF"/>
              </a:solidFill>
              <a:ln>
                <a:solidFill>
                  <a:srgbClr val="D83636"/>
                </a:solid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'[Government_Failure_2021_FINAL.xlsx]Графики (2)'!$B$2:$X$2</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(2)'!$B$5:$X$5</c:f>
              <c:numCache>
                <c:formatCode>General</c:formatCode>
                <c:ptCount val="23"/>
                <c:pt idx="0">
                  <c:v>25</c:v>
                </c:pt>
                <c:pt idx="1">
                  <c:v>31</c:v>
                </c:pt>
                <c:pt idx="2">
                  <c:v>40</c:v>
                </c:pt>
                <c:pt idx="3">
                  <c:v>50</c:v>
                </c:pt>
                <c:pt idx="4">
                  <c:v>73</c:v>
                </c:pt>
                <c:pt idx="5">
                  <c:v>78</c:v>
                </c:pt>
                <c:pt idx="6">
                  <c:v>74</c:v>
                </c:pt>
                <c:pt idx="7">
                  <c:v>104</c:v>
                </c:pt>
                <c:pt idx="8">
                  <c:v>78</c:v>
                </c:pt>
                <c:pt idx="9">
                  <c:v>73</c:v>
                </c:pt>
                <c:pt idx="10">
                  <c:v>88</c:v>
                </c:pt>
                <c:pt idx="11">
                  <c:v>76</c:v>
                </c:pt>
                <c:pt idx="12">
                  <c:v>52</c:v>
                </c:pt>
                <c:pt idx="13">
                  <c:v>55</c:v>
                </c:pt>
                <c:pt idx="14">
                  <c:v>54</c:v>
                </c:pt>
                <c:pt idx="15">
                  <c:v>46</c:v>
                </c:pt>
                <c:pt idx="16">
                  <c:v>44</c:v>
                </c:pt>
                <c:pt idx="17">
                  <c:v>40</c:v>
                </c:pt>
                <c:pt idx="18">
                  <c:v>39</c:v>
                </c:pt>
                <c:pt idx="19">
                  <c:v>28</c:v>
                </c:pt>
                <c:pt idx="20">
                  <c:v>15</c:v>
                </c:pt>
                <c:pt idx="21">
                  <c:v>3</c:v>
                </c:pt>
                <c:pt idx="22">
                  <c:v>1</c:v>
                </c:pt>
              </c:numCache>
            </c:numRef>
          </c:val>
          <c:extLst>
            <c:ext xmlns:c16="http://schemas.microsoft.com/office/drawing/2014/chart" uri="{C3380CC4-5D6E-409C-BE32-E72D297353CC}">
              <c16:uniqueId val="{00000000-2D22-4ADD-9DC0-09B21F2418EA}"/>
            </c:ext>
          </c:extLst>
        </c:ser>
        <c:dLbls>
          <c:showLegendKey val="0"/>
          <c:showVal val="1"/>
          <c:showCatName val="0"/>
          <c:showSerName val="0"/>
          <c:showPercent val="0"/>
          <c:showBubbleSize val="0"/>
        </c:dLbls>
        <c:gapWidth val="50"/>
        <c:axId val="1350780016"/>
        <c:axId val="1350784912"/>
      </c:barChart>
      <c:catAx>
        <c:axId val="135078001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350784912"/>
        <c:crosses val="autoZero"/>
        <c:auto val="1"/>
        <c:lblAlgn val="ctr"/>
        <c:lblOffset val="100"/>
        <c:noMultiLvlLbl val="0"/>
      </c:catAx>
      <c:valAx>
        <c:axId val="1350784912"/>
        <c:scaling>
          <c:orientation val="minMax"/>
          <c:max val="120"/>
        </c:scaling>
        <c:delete val="0"/>
        <c:axPos val="l"/>
        <c:numFmt formatCode="General" sourceLinked="1"/>
        <c:majorTickMark val="out"/>
        <c:minorTickMark val="none"/>
        <c:tickLblPos val="nextTo"/>
        <c:crossAx val="1350780016"/>
        <c:crosses val="autoZero"/>
        <c:crossBetween val="between"/>
        <c:majorUnit val="15"/>
      </c:valAx>
    </c:plotArea>
    <c:plotVisOnly val="1"/>
    <c:dispBlanksAs val="gap"/>
    <c:showDLblsOverMax val="0"/>
  </c:chart>
  <c:spPr>
    <a:solidFill>
      <a:sysClr val="window" lastClr="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[Government_Failure_2021_FINAL.xlsx]Графики!$H$5</c:f>
              <c:strCache>
                <c:ptCount val="1"/>
                <c:pt idx="0">
                  <c:v>сума (млрд. лв.)</c:v>
                </c:pt>
              </c:strCache>
            </c:strRef>
          </c:tx>
          <c:dPt>
            <c:idx val="0"/>
            <c:bubble3D val="0"/>
            <c:spPr>
              <a:solidFill>
                <a:schemeClr val="accent2"/>
              </a:solidFill>
              <a:ln w="19050">
                <a:noFill/>
              </a:ln>
              <a:effectLst/>
            </c:spPr>
            <c:extLst>
              <c:ext xmlns:c16="http://schemas.microsoft.com/office/drawing/2014/chart" uri="{C3380CC4-5D6E-409C-BE32-E72D297353CC}">
                <c16:uniqueId val="{00000001-F85A-40C7-8394-37290FD144B3}"/>
              </c:ext>
            </c:extLst>
          </c:dPt>
          <c:dPt>
            <c:idx val="1"/>
            <c:bubble3D val="0"/>
            <c:explosion val="1"/>
            <c:spPr>
              <a:solidFill>
                <a:schemeClr val="accent3"/>
              </a:solidFill>
              <a:ln w="19050">
                <a:solidFill>
                  <a:schemeClr val="accent3"/>
                </a:solidFill>
              </a:ln>
              <a:effectLst/>
            </c:spPr>
            <c:extLst>
              <c:ext xmlns:c16="http://schemas.microsoft.com/office/drawing/2014/chart" uri="{C3380CC4-5D6E-409C-BE32-E72D297353CC}">
                <c16:uniqueId val="{00000003-F85A-40C7-8394-37290FD144B3}"/>
              </c:ext>
            </c:extLst>
          </c:dPt>
          <c:dPt>
            <c:idx val="2"/>
            <c:bubble3D val="0"/>
            <c:spPr>
              <a:solidFill>
                <a:schemeClr val="bg1">
                  <a:lumMod val="65000"/>
                </a:schemeClr>
              </a:solidFill>
              <a:ln w="19050">
                <a:solidFill>
                  <a:schemeClr val="bg1">
                    <a:lumMod val="65000"/>
                  </a:schemeClr>
                </a:solidFill>
              </a:ln>
              <a:effectLst/>
            </c:spPr>
            <c:extLst>
              <c:ext xmlns:c16="http://schemas.microsoft.com/office/drawing/2014/chart" uri="{C3380CC4-5D6E-409C-BE32-E72D297353CC}">
                <c16:uniqueId val="{00000005-F85A-40C7-8394-37290FD144B3}"/>
              </c:ext>
            </c:extLst>
          </c:dPt>
          <c:dLbls>
            <c:dLbl>
              <c:idx val="0"/>
              <c:layout>
                <c:manualLayout>
                  <c:x val="-3.5161781247932331E-2"/>
                  <c:y val="2.760533140398017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E9670AC-12BC-4A89-8C8A-D1ADF37B33DB}" type="CATEGORYNAME">
                      <a:rPr lang="bg-BG" sz="900" b="0"/>
                      <a:pPr>
                        <a:defRPr/>
                      </a:pPr>
                      <a:t>[CATEGORY NAME]</a:t>
                    </a:fld>
                    <a:r>
                      <a:rPr lang="bg-BG" sz="900" b="0" baseline="0"/>
                      <a:t>
</a:t>
                    </a:r>
                    <a:fld id="{672680B7-7AEC-4D29-99E7-1D0C2DBB7071}" type="VALUE">
                      <a:rPr lang="bg-BG" sz="900" b="0" baseline="0"/>
                      <a:pPr>
                        <a:defRPr/>
                      </a:pPr>
                      <a:t>[VALUE]</a:t>
                    </a:fld>
                    <a:r>
                      <a:rPr lang="bg-BG" sz="900" b="0" baseline="0"/>
                      <a:t> млрд. лв.</a:t>
                    </a:r>
                  </a:p>
                </c:rich>
              </c:tx>
              <c:spPr>
                <a:solidFill>
                  <a:schemeClr val="bg1"/>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275961828300874"/>
                      <c:h val="0.19562512919775241"/>
                    </c:manualLayout>
                  </c15:layout>
                  <c15:dlblFieldTable/>
                  <c15:showDataLabelsRange val="0"/>
                </c:ext>
                <c:ext xmlns:c16="http://schemas.microsoft.com/office/drawing/2014/chart" uri="{C3380CC4-5D6E-409C-BE32-E72D297353CC}">
                  <c16:uniqueId val="{00000001-F85A-40C7-8394-37290FD144B3}"/>
                </c:ext>
              </c:extLst>
            </c:dLbl>
            <c:dLbl>
              <c:idx val="1"/>
              <c:layout>
                <c:manualLayout>
                  <c:x val="8.5926759155105312E-3"/>
                  <c:y val="-8.5709084246330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F6F20E-395C-481A-A6EC-2221F5EC6849}" type="CATEGORYNAME">
                      <a:rPr lang="bg-BG" sz="900" b="0"/>
                      <a:pPr>
                        <a:defRPr/>
                      </a:pPr>
                      <a:t>[CATEGORY NAME]</a:t>
                    </a:fld>
                    <a:r>
                      <a:rPr lang="bg-BG" sz="900" b="0" baseline="0"/>
                      <a:t>
</a:t>
                    </a:r>
                    <a:fld id="{C0A2EBCF-2604-4DBF-A22C-F6E2924253AE}" type="VALUE">
                      <a:rPr lang="bg-BG" sz="900" b="0" baseline="0"/>
                      <a:pPr>
                        <a:defRPr/>
                      </a:pPr>
                      <a:t>[VALUE]</a:t>
                    </a:fld>
                    <a:r>
                      <a:rPr lang="bg-BG" sz="900" b="0" baseline="0"/>
                      <a:t> млрд. лв.</a:t>
                    </a:r>
                  </a:p>
                </c:rich>
              </c:tx>
              <c:spPr>
                <a:solidFill>
                  <a:schemeClr val="bg1"/>
                </a:solidFill>
                <a:ln>
                  <a:solidFill>
                    <a:schemeClr val="accent3"/>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5190454134409671"/>
                      <c:h val="0.15385901941254954"/>
                    </c:manualLayout>
                  </c15:layout>
                  <c15:dlblFieldTable/>
                  <c15:showDataLabelsRange val="0"/>
                </c:ext>
                <c:ext xmlns:c16="http://schemas.microsoft.com/office/drawing/2014/chart" uri="{C3380CC4-5D6E-409C-BE32-E72D297353CC}">
                  <c16:uniqueId val="{00000003-F85A-40C7-8394-37290FD144B3}"/>
                </c:ext>
              </c:extLst>
            </c:dLbl>
            <c:dLbl>
              <c:idx val="2"/>
              <c:layout>
                <c:manualLayout>
                  <c:x val="1.5721564216237677E-2"/>
                  <c:y val="0.1501639636930824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B35D396-71FF-4DE4-B538-2CE5F94C5B61}" type="CATEGORYNAME">
                      <a:rPr lang="bg-BG" sz="900" b="0"/>
                      <a:pPr>
                        <a:defRPr/>
                      </a:pPr>
                      <a:t>[CATEGORY NAME]</a:t>
                    </a:fld>
                    <a:r>
                      <a:rPr lang="bg-BG" sz="900" b="0" baseline="0"/>
                      <a:t>
</a:t>
                    </a:r>
                    <a:fld id="{B70A9107-8F8C-428C-AFB5-034E40E971A3}" type="VALUE">
                      <a:rPr lang="bg-BG" sz="900" b="0" baseline="0"/>
                      <a:pPr>
                        <a:defRPr/>
                      </a:pPr>
                      <a:t>[VALUE]</a:t>
                    </a:fld>
                    <a:r>
                      <a:rPr lang="bg-BG" sz="900" b="0" baseline="0"/>
                      <a:t> млрд. лв.</a:t>
                    </a:r>
                  </a:p>
                </c:rich>
              </c:tx>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9412977789541015"/>
                      <c:h val="0.18235957378835999"/>
                    </c:manualLayout>
                  </c15:layout>
                  <c15:dlblFieldTable/>
                  <c15:showDataLabelsRange val="0"/>
                </c:ext>
                <c:ext xmlns:c16="http://schemas.microsoft.com/office/drawing/2014/chart" uri="{C3380CC4-5D6E-409C-BE32-E72D297353CC}">
                  <c16:uniqueId val="{00000005-F85A-40C7-8394-37290FD144B3}"/>
                </c:ext>
              </c:extLst>
            </c:dLbl>
            <c:spPr>
              <a:solidFill>
                <a:schemeClr val="bg1"/>
              </a:solid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[Government_Failure_2021_FINAL.xlsx]Графики!$B$6:$B$8</c:f>
              <c:strCache>
                <c:ptCount val="3"/>
                <c:pt idx="0">
                  <c:v>Провали</c:v>
                </c:pt>
                <c:pt idx="1">
                  <c:v>Успехи</c:v>
                </c:pt>
                <c:pt idx="2">
                  <c:v>Некласифицирани</c:v>
                </c:pt>
              </c:strCache>
            </c:strRef>
          </c:cat>
          <c:val>
            <c:numRef>
              <c:f>[Government_Failure_2021_FINAL.xlsx]Графики!$H$6:$H$8</c:f>
              <c:numCache>
                <c:formatCode>0.0</c:formatCode>
                <c:ptCount val="3"/>
                <c:pt idx="0">
                  <c:v>82.587000000000003</c:v>
                </c:pt>
                <c:pt idx="1">
                  <c:v>35.25</c:v>
                </c:pt>
                <c:pt idx="2">
                  <c:v>37.835999999999999</c:v>
                </c:pt>
              </c:numCache>
            </c:numRef>
          </c:val>
          <c:extLst>
            <c:ext xmlns:c16="http://schemas.microsoft.com/office/drawing/2014/chart" uri="{C3380CC4-5D6E-409C-BE32-E72D297353CC}">
              <c16:uniqueId val="{00000006-F85A-40C7-8394-37290FD144B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6640050275405677E-2"/>
          <c:y val="4.7446665320681113E-2"/>
          <c:w val="0.91270267272928962"/>
          <c:h val="0.80125117693621628"/>
        </c:manualLayout>
      </c:layout>
      <c:barChart>
        <c:barDir val="col"/>
        <c:grouping val="stacked"/>
        <c:varyColors val="0"/>
        <c:ser>
          <c:idx val="0"/>
          <c:order val="0"/>
          <c:tx>
            <c:strRef>
              <c:f>'[Government_Failure_2021_FINAL.xlsx]Графики (2)'!$A$10</c:f>
              <c:strCache>
                <c:ptCount val="1"/>
                <c:pt idx="0">
                  <c:v>Включени одити в предишните шест издания на изследването</c:v>
                </c:pt>
              </c:strCache>
            </c:strRef>
          </c:tx>
          <c:spPr>
            <a:solidFill>
              <a:schemeClr val="bg1">
                <a:lumMod val="65000"/>
              </a:schemeClr>
            </a:solidFill>
          </c:spPr>
          <c:invertIfNegative val="0"/>
          <c:dLbls>
            <c:spPr>
              <a:solidFill>
                <a:schemeClr val="bg1"/>
              </a:solidFill>
              <a:ln>
                <a:solidFill>
                  <a:schemeClr val="bg1">
                    <a:lumMod val="65000"/>
                  </a:schemeClr>
                </a:solid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'[Government_Failure_2021_FINAL.xlsx]Графики (2)'!$B$9:$X$9</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(2)'!$B$10:$X$10</c:f>
              <c:numCache>
                <c:formatCode>General</c:formatCode>
                <c:ptCount val="23"/>
                <c:pt idx="0">
                  <c:v>34</c:v>
                </c:pt>
                <c:pt idx="1">
                  <c:v>43</c:v>
                </c:pt>
                <c:pt idx="2">
                  <c:v>54</c:v>
                </c:pt>
                <c:pt idx="3">
                  <c:v>82</c:v>
                </c:pt>
                <c:pt idx="4">
                  <c:v>120</c:v>
                </c:pt>
                <c:pt idx="5">
                  <c:v>155</c:v>
                </c:pt>
                <c:pt idx="6">
                  <c:v>154</c:v>
                </c:pt>
                <c:pt idx="7">
                  <c:v>202</c:v>
                </c:pt>
                <c:pt idx="8">
                  <c:v>171</c:v>
                </c:pt>
                <c:pt idx="9">
                  <c:v>162</c:v>
                </c:pt>
                <c:pt idx="10">
                  <c:v>187</c:v>
                </c:pt>
                <c:pt idx="11">
                  <c:v>150</c:v>
                </c:pt>
                <c:pt idx="12">
                  <c:v>105</c:v>
                </c:pt>
                <c:pt idx="13">
                  <c:v>106</c:v>
                </c:pt>
                <c:pt idx="14">
                  <c:v>100</c:v>
                </c:pt>
                <c:pt idx="15">
                  <c:v>86</c:v>
                </c:pt>
                <c:pt idx="16">
                  <c:v>82</c:v>
                </c:pt>
                <c:pt idx="17">
                  <c:v>58</c:v>
                </c:pt>
                <c:pt idx="18">
                  <c:v>38</c:v>
                </c:pt>
                <c:pt idx="19">
                  <c:v>14</c:v>
                </c:pt>
              </c:numCache>
            </c:numRef>
          </c:val>
          <c:extLst>
            <c:ext xmlns:c16="http://schemas.microsoft.com/office/drawing/2014/chart" uri="{C3380CC4-5D6E-409C-BE32-E72D297353CC}">
              <c16:uniqueId val="{00000000-D066-4A32-90B3-67DC51465C7A}"/>
            </c:ext>
          </c:extLst>
        </c:ser>
        <c:ser>
          <c:idx val="1"/>
          <c:order val="1"/>
          <c:tx>
            <c:strRef>
              <c:f>'[Government_Failure_2021_FINAL.xlsx]Графики (2)'!$A$11</c:f>
              <c:strCache>
                <c:ptCount val="1"/>
                <c:pt idx="0">
                  <c:v>Новодобавени доклади в седмото издание на изследването</c:v>
                </c:pt>
              </c:strCache>
            </c:strRef>
          </c:tx>
          <c:spPr>
            <a:solidFill>
              <a:schemeClr val="tx1">
                <a:lumMod val="65000"/>
                <a:lumOff val="35000"/>
              </a:schemeClr>
            </a:solidFill>
          </c:spPr>
          <c:invertIfNegative val="0"/>
          <c:dLbls>
            <c:dLbl>
              <c:idx val="15"/>
              <c:layout>
                <c:manualLayout>
                  <c:x val="-1.3213060574809938E-16"/>
                  <c:y val="-5.277130777814449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66-4A32-90B3-67DC51465C7A}"/>
                </c:ext>
              </c:extLst>
            </c:dLbl>
            <c:dLbl>
              <c:idx val="16"/>
              <c:layout>
                <c:manualLayout>
                  <c:x val="0"/>
                  <c:y val="-5.582818614739026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66-4A32-90B3-67DC51465C7A}"/>
                </c:ext>
              </c:extLst>
            </c:dLbl>
            <c:dLbl>
              <c:idx val="17"/>
              <c:layout>
                <c:manualLayout>
                  <c:x val="0"/>
                  <c:y val="-7.442123626762223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066-4A32-90B3-67DC51465C7A}"/>
                </c:ext>
              </c:extLst>
            </c:dLbl>
            <c:dLbl>
              <c:idx val="18"/>
              <c:layout>
                <c:manualLayout>
                  <c:x val="0"/>
                  <c:y val="-0.1060543479969195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066-4A32-90B3-67DC51465C7A}"/>
                </c:ext>
              </c:extLst>
            </c:dLbl>
            <c:dLbl>
              <c:idx val="19"/>
              <c:layout>
                <c:manualLayout>
                  <c:x val="-1.8018018018019339E-3"/>
                  <c:y val="-0.1171210335235042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066-4A32-90B3-67DC51465C7A}"/>
                </c:ext>
              </c:extLst>
            </c:dLbl>
            <c:dLbl>
              <c:idx val="20"/>
              <c:layout>
                <c:manualLayout>
                  <c:x val="0"/>
                  <c:y val="-0.1039121756487027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066-4A32-90B3-67DC51465C7A}"/>
                </c:ext>
              </c:extLst>
            </c:dLbl>
            <c:dLbl>
              <c:idx val="21"/>
              <c:layout>
                <c:manualLayout>
                  <c:x val="-1.3213060574809938E-16"/>
                  <c:y val="-6.517610448394549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066-4A32-90B3-67DC51465C7A}"/>
                </c:ext>
              </c:extLst>
            </c:dLbl>
            <c:spPr>
              <a:noFill/>
              <a:ln>
                <a:solidFill>
                  <a:schemeClr val="tx1">
                    <a:lumMod val="65000"/>
                    <a:lumOff val="35000"/>
                  </a:schemeClr>
                </a:solid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'[Government_Failure_2021_FINAL.xlsx]Графики (2)'!$B$9:$X$9</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(2)'!$B$11:$X$11</c:f>
              <c:numCache>
                <c:formatCode>General</c:formatCode>
                <c:ptCount val="23"/>
                <c:pt idx="11">
                  <c:v>1</c:v>
                </c:pt>
                <c:pt idx="12">
                  <c:v>1</c:v>
                </c:pt>
                <c:pt idx="13">
                  <c:v>1</c:v>
                </c:pt>
                <c:pt idx="14">
                  <c:v>2</c:v>
                </c:pt>
                <c:pt idx="15">
                  <c:v>3</c:v>
                </c:pt>
                <c:pt idx="16">
                  <c:v>9</c:v>
                </c:pt>
                <c:pt idx="17">
                  <c:v>18</c:v>
                </c:pt>
                <c:pt idx="18">
                  <c:v>36</c:v>
                </c:pt>
                <c:pt idx="19">
                  <c:v>48</c:v>
                </c:pt>
                <c:pt idx="20">
                  <c:v>42</c:v>
                </c:pt>
                <c:pt idx="21">
                  <c:v>15</c:v>
                </c:pt>
                <c:pt idx="22">
                  <c:v>2</c:v>
                </c:pt>
              </c:numCache>
            </c:numRef>
          </c:val>
          <c:extLst>
            <c:ext xmlns:c16="http://schemas.microsoft.com/office/drawing/2014/chart" uri="{C3380CC4-5D6E-409C-BE32-E72D297353CC}">
              <c16:uniqueId val="{00000008-D066-4A32-90B3-67DC51465C7A}"/>
            </c:ext>
          </c:extLst>
        </c:ser>
        <c:dLbls>
          <c:dLblPos val="ctr"/>
          <c:showLegendKey val="0"/>
          <c:showVal val="1"/>
          <c:showCatName val="0"/>
          <c:showSerName val="0"/>
          <c:showPercent val="0"/>
          <c:showBubbleSize val="0"/>
        </c:dLbls>
        <c:gapWidth val="50"/>
        <c:overlap val="100"/>
        <c:axId val="1350781104"/>
        <c:axId val="1350782192"/>
      </c:barChart>
      <c:catAx>
        <c:axId val="135078110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350782192"/>
        <c:crosses val="autoZero"/>
        <c:auto val="1"/>
        <c:lblAlgn val="ctr"/>
        <c:lblOffset val="100"/>
        <c:noMultiLvlLbl val="0"/>
      </c:catAx>
      <c:valAx>
        <c:axId val="1350782192"/>
        <c:scaling>
          <c:orientation val="minMax"/>
        </c:scaling>
        <c:delete val="0"/>
        <c:axPos val="l"/>
        <c:numFmt formatCode="General" sourceLinked="1"/>
        <c:majorTickMark val="out"/>
        <c:minorTickMark val="none"/>
        <c:tickLblPos val="nextTo"/>
        <c:crossAx val="1350781104"/>
        <c:crosses val="autoZero"/>
        <c:crossBetween val="between"/>
      </c:valAx>
    </c:plotArea>
    <c:legend>
      <c:legendPos val="b"/>
      <c:layout>
        <c:manualLayout>
          <c:xMode val="edge"/>
          <c:yMode val="edge"/>
          <c:x val="7.7499751720224164E-2"/>
          <c:y val="8.1926778383471406E-3"/>
          <c:w val="0.91770674611619518"/>
          <c:h val="0.120012450366781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[Government_Failure_2021_FINAL.xlsx]Графики!$C$40</c:f>
              <c:strCache>
                <c:ptCount val="1"/>
                <c:pt idx="0">
                  <c:v>брой</c:v>
                </c:pt>
              </c:strCache>
            </c:strRef>
          </c:tx>
          <c:dPt>
            <c:idx val="0"/>
            <c:bubble3D val="0"/>
            <c:spPr>
              <a:solidFill>
                <a:schemeClr val="accent2"/>
              </a:solidFill>
            </c:spPr>
            <c:extLst>
              <c:ext xmlns:c16="http://schemas.microsoft.com/office/drawing/2014/chart" uri="{C3380CC4-5D6E-409C-BE32-E72D297353CC}">
                <c16:uniqueId val="{00000001-9F32-4DD4-A78E-CF82FE09254A}"/>
              </c:ext>
            </c:extLst>
          </c:dPt>
          <c:dPt>
            <c:idx val="1"/>
            <c:bubble3D val="0"/>
            <c:spPr>
              <a:solidFill>
                <a:schemeClr val="accent3"/>
              </a:solidFill>
            </c:spPr>
            <c:extLst>
              <c:ext xmlns:c16="http://schemas.microsoft.com/office/drawing/2014/chart" uri="{C3380CC4-5D6E-409C-BE32-E72D297353CC}">
                <c16:uniqueId val="{00000003-9F32-4DD4-A78E-CF82FE09254A}"/>
              </c:ext>
            </c:extLst>
          </c:dPt>
          <c:dPt>
            <c:idx val="2"/>
            <c:bubble3D val="0"/>
            <c:spPr>
              <a:solidFill>
                <a:schemeClr val="bg1">
                  <a:lumMod val="65000"/>
                </a:schemeClr>
              </a:solidFill>
            </c:spPr>
            <c:extLst>
              <c:ext xmlns:c16="http://schemas.microsoft.com/office/drawing/2014/chart" uri="{C3380CC4-5D6E-409C-BE32-E72D297353CC}">
                <c16:uniqueId val="{00000005-9F32-4DD4-A78E-CF82FE09254A}"/>
              </c:ext>
            </c:extLst>
          </c:dPt>
          <c:cat>
            <c:strRef>
              <c:f>[Government_Failure_2021_FINAL.xlsx]Графики!$B$41:$B$43</c:f>
              <c:strCache>
                <c:ptCount val="3"/>
                <c:pt idx="0">
                  <c:v>провал</c:v>
                </c:pt>
                <c:pt idx="1">
                  <c:v>успех</c:v>
                </c:pt>
                <c:pt idx="2">
                  <c:v>некласифициран</c:v>
                </c:pt>
              </c:strCache>
            </c:strRef>
          </c:cat>
          <c:val>
            <c:numRef>
              <c:f>[Government_Failure_2021_FINAL.xlsx]Графики!$C$41:$C$43</c:f>
              <c:numCache>
                <c:formatCode>General</c:formatCode>
                <c:ptCount val="3"/>
                <c:pt idx="0">
                  <c:v>25</c:v>
                </c:pt>
                <c:pt idx="1">
                  <c:v>15</c:v>
                </c:pt>
                <c:pt idx="2">
                  <c:v>29</c:v>
                </c:pt>
              </c:numCache>
            </c:numRef>
          </c:val>
          <c:extLst>
            <c:ext xmlns:c16="http://schemas.microsoft.com/office/drawing/2014/chart" uri="{C3380CC4-5D6E-409C-BE32-E72D297353CC}">
              <c16:uniqueId val="{00000006-9F32-4DD4-A78E-CF82FE09254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[Government_Failure_2021_FINAL.xlsx]Графики!$D$40</c:f>
              <c:strCache>
                <c:ptCount val="1"/>
                <c:pt idx="0">
                  <c:v>сума (млрд. лв.)</c:v>
                </c:pt>
              </c:strCache>
            </c:strRef>
          </c:tx>
          <c:spPr>
            <a:solidFill>
              <a:srgbClr val="D83636"/>
            </a:solidFill>
          </c:spPr>
          <c:dPt>
            <c:idx val="0"/>
            <c:bubble3D val="0"/>
            <c:spPr>
              <a:solidFill>
                <a:schemeClr val="accent2"/>
              </a:solidFill>
            </c:spPr>
            <c:extLst>
              <c:ext xmlns:c16="http://schemas.microsoft.com/office/drawing/2014/chart" uri="{C3380CC4-5D6E-409C-BE32-E72D297353CC}">
                <c16:uniqueId val="{00000001-B8E4-4195-8CD0-44E62B946444}"/>
              </c:ext>
            </c:extLst>
          </c:dPt>
          <c:dPt>
            <c:idx val="1"/>
            <c:bubble3D val="0"/>
            <c:spPr>
              <a:solidFill>
                <a:schemeClr val="accent3"/>
              </a:solidFill>
            </c:spPr>
            <c:extLst>
              <c:ext xmlns:c16="http://schemas.microsoft.com/office/drawing/2014/chart" uri="{C3380CC4-5D6E-409C-BE32-E72D297353CC}">
                <c16:uniqueId val="{00000003-B8E4-4195-8CD0-44E62B946444}"/>
              </c:ext>
            </c:extLst>
          </c:dPt>
          <c:dPt>
            <c:idx val="2"/>
            <c:bubble3D val="0"/>
            <c:spPr>
              <a:solidFill>
                <a:schemeClr val="bg1">
                  <a:lumMod val="65000"/>
                </a:schemeClr>
              </a:solidFill>
            </c:spPr>
            <c:extLst>
              <c:ext xmlns:c16="http://schemas.microsoft.com/office/drawing/2014/chart" uri="{C3380CC4-5D6E-409C-BE32-E72D297353CC}">
                <c16:uniqueId val="{00000005-B8E4-4195-8CD0-44E62B946444}"/>
              </c:ext>
            </c:extLst>
          </c:dPt>
          <c:cat>
            <c:strRef>
              <c:f>[Government_Failure_2021_FINAL.xlsx]Графики!$B$41:$B$43</c:f>
              <c:strCache>
                <c:ptCount val="3"/>
                <c:pt idx="0">
                  <c:v>провал</c:v>
                </c:pt>
                <c:pt idx="1">
                  <c:v>успех</c:v>
                </c:pt>
                <c:pt idx="2">
                  <c:v>некласифициран</c:v>
                </c:pt>
              </c:strCache>
            </c:strRef>
          </c:cat>
          <c:val>
            <c:numRef>
              <c:f>[Government_Failure_2021_FINAL.xlsx]Графики!$D$41:$D$43</c:f>
              <c:numCache>
                <c:formatCode>General</c:formatCode>
                <c:ptCount val="3"/>
                <c:pt idx="0">
                  <c:v>4.9870000000000001</c:v>
                </c:pt>
                <c:pt idx="1">
                  <c:v>0.85</c:v>
                </c:pt>
                <c:pt idx="2">
                  <c:v>0.93600000000000005</c:v>
                </c:pt>
              </c:numCache>
            </c:numRef>
          </c:val>
          <c:extLst>
            <c:ext xmlns:c16="http://schemas.microsoft.com/office/drawing/2014/chart" uri="{C3380CC4-5D6E-409C-BE32-E72D297353CC}">
              <c16:uniqueId val="{00000006-B8E4-4195-8CD0-44E62B94644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[Government_Failure_2021_FINAL.xlsx]Графики!$G$5</c:f>
              <c:strCache>
                <c:ptCount val="1"/>
                <c:pt idx="0">
                  <c:v>брой</c:v>
                </c:pt>
              </c:strCache>
            </c:strRef>
          </c:tx>
          <c:dPt>
            <c:idx val="0"/>
            <c:bubble3D val="0"/>
            <c:spPr>
              <a:solidFill>
                <a:schemeClr val="accent2"/>
              </a:solidFill>
            </c:spPr>
            <c:extLst>
              <c:ext xmlns:c16="http://schemas.microsoft.com/office/drawing/2014/chart" uri="{C3380CC4-5D6E-409C-BE32-E72D297353CC}">
                <c16:uniqueId val="{00000001-0F95-4452-AD74-42DED0CD2B99}"/>
              </c:ext>
            </c:extLst>
          </c:dPt>
          <c:dPt>
            <c:idx val="1"/>
            <c:bubble3D val="0"/>
            <c:spPr>
              <a:solidFill>
                <a:schemeClr val="accent3"/>
              </a:solidFill>
            </c:spPr>
            <c:extLst>
              <c:ext xmlns:c16="http://schemas.microsoft.com/office/drawing/2014/chart" uri="{C3380CC4-5D6E-409C-BE32-E72D297353CC}">
                <c16:uniqueId val="{00000003-0F95-4452-AD74-42DED0CD2B99}"/>
              </c:ext>
            </c:extLst>
          </c:dPt>
          <c:dPt>
            <c:idx val="2"/>
            <c:bubble3D val="0"/>
            <c:spPr>
              <a:solidFill>
                <a:schemeClr val="bg1">
                  <a:lumMod val="65000"/>
                </a:schemeClr>
              </a:solidFill>
            </c:spPr>
            <c:extLst>
              <c:ext xmlns:c16="http://schemas.microsoft.com/office/drawing/2014/chart" uri="{C3380CC4-5D6E-409C-BE32-E72D297353CC}">
                <c16:uniqueId val="{00000005-0F95-4452-AD74-42DED0CD2B99}"/>
              </c:ext>
            </c:extLst>
          </c:dPt>
          <c:dLbls>
            <c:dLbl>
              <c:idx val="0"/>
              <c:layout>
                <c:manualLayout>
                  <c:x val="-4.539022717499297E-2"/>
                  <c:y val="-1.1684437017172956E-2"/>
                </c:manualLayout>
              </c:layout>
              <c:tx>
                <c:rich>
                  <a:bodyPr wrap="square" lIns="38100" tIns="19050" rIns="38100" bIns="19050" anchor="ctr">
                    <a:noAutofit/>
                  </a:bodyPr>
                  <a:lstStyle/>
                  <a:p>
                    <a:pPr>
                      <a:defRPr sz="900"/>
                    </a:pPr>
                    <a:fld id="{D53E918B-1219-455F-AF42-8263CC9D2D70}" type="CATEGORYNAME">
                      <a:rPr lang="bg-BG" sz="900"/>
                      <a:pPr>
                        <a:defRPr sz="900"/>
                      </a:pPr>
                      <a:t>[CATEGORY NAME]</a:t>
                    </a:fld>
                    <a:r>
                      <a:rPr lang="bg-BG" sz="900" baseline="0"/>
                      <a:t>
</a:t>
                    </a:r>
                    <a:fld id="{0E89A3B1-9D0A-47A3-9F87-480001417ADF}" type="VALUE">
                      <a:rPr lang="bg-BG" sz="900" baseline="0"/>
                      <a:pPr>
                        <a:defRPr sz="900"/>
                      </a:pPr>
                      <a:t>[VALUE]</a:t>
                    </a:fld>
                    <a:r>
                      <a:rPr lang="bg-BG" sz="900" baseline="0"/>
                      <a:t> доклада</a:t>
                    </a:r>
                  </a:p>
                </c:rich>
              </c:tx>
              <c:spPr>
                <a:solidFill>
                  <a:schemeClr val="bg1"/>
                </a:solidFill>
                <a:ln w="9525">
                  <a:solidFill>
                    <a:schemeClr val="accent2"/>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8540130788736151"/>
                      <c:h val="0.14086859902349383"/>
                    </c:manualLayout>
                  </c15:layout>
                  <c15:dlblFieldTable/>
                  <c15:showDataLabelsRange val="0"/>
                </c:ext>
                <c:ext xmlns:c16="http://schemas.microsoft.com/office/drawing/2014/chart" uri="{C3380CC4-5D6E-409C-BE32-E72D297353CC}">
                  <c16:uniqueId val="{00000001-0F95-4452-AD74-42DED0CD2B99}"/>
                </c:ext>
              </c:extLst>
            </c:dLbl>
            <c:dLbl>
              <c:idx val="1"/>
              <c:layout>
                <c:manualLayout>
                  <c:x val="6.500645046487831E-2"/>
                  <c:y val="-0.10063355377728395"/>
                </c:manualLayout>
              </c:layout>
              <c:tx>
                <c:rich>
                  <a:bodyPr wrap="square" lIns="38100" tIns="19050" rIns="38100" bIns="19050" anchor="ctr">
                    <a:noAutofit/>
                  </a:bodyPr>
                  <a:lstStyle/>
                  <a:p>
                    <a:pPr>
                      <a:defRPr sz="900"/>
                    </a:pPr>
                    <a:fld id="{573D4967-7C90-492B-8132-8FEDE47BD6E5}" type="CATEGORYNAME">
                      <a:rPr lang="bg-BG" sz="900"/>
                      <a:pPr>
                        <a:defRPr sz="900"/>
                      </a:pPr>
                      <a:t>[CATEGORY NAME]</a:t>
                    </a:fld>
                    <a:r>
                      <a:rPr lang="bg-BG" sz="900" baseline="0"/>
                      <a:t>
</a:t>
                    </a:r>
                    <a:fld id="{1AB64E4E-F42A-4B5D-A315-43A9BC9240C2}" type="VALUE">
                      <a:rPr lang="bg-BG" sz="900" baseline="0"/>
                      <a:pPr>
                        <a:defRPr sz="900"/>
                      </a:pPr>
                      <a:t>[VALUE]</a:t>
                    </a:fld>
                    <a:r>
                      <a:rPr lang="bg-BG" sz="900" baseline="0"/>
                      <a:t> доклада</a:t>
                    </a:r>
                  </a:p>
                </c:rich>
              </c:tx>
              <c:spPr>
                <a:solidFill>
                  <a:schemeClr val="bg1"/>
                </a:solidFill>
                <a:ln w="9525">
                  <a:solidFill>
                    <a:srgbClr val="92D050"/>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363841807909603"/>
                      <c:h val="0.14629600743597687"/>
                    </c:manualLayout>
                  </c15:layout>
                  <c15:dlblFieldTable/>
                  <c15:showDataLabelsRange val="0"/>
                </c:ext>
                <c:ext xmlns:c16="http://schemas.microsoft.com/office/drawing/2014/chart" uri="{C3380CC4-5D6E-409C-BE32-E72D297353CC}">
                  <c16:uniqueId val="{00000003-0F95-4452-AD74-42DED0CD2B99}"/>
                </c:ext>
              </c:extLst>
            </c:dLbl>
            <c:dLbl>
              <c:idx val="2"/>
              <c:layout>
                <c:manualLayout>
                  <c:x val="5.1740024510214429E-2"/>
                  <c:y val="0.12016747623305021"/>
                </c:manualLayout>
              </c:layout>
              <c:tx>
                <c:rich>
                  <a:bodyPr wrap="square" lIns="38100" tIns="19050" rIns="38100" bIns="19050" anchor="ctr">
                    <a:noAutofit/>
                  </a:bodyPr>
                  <a:lstStyle/>
                  <a:p>
                    <a:pPr>
                      <a:defRPr sz="900"/>
                    </a:pPr>
                    <a:fld id="{1AB9D45C-9BC7-40C4-AA20-5D3B7A38345E}" type="CATEGORYNAME">
                      <a:rPr lang="bg-BG" sz="900"/>
                      <a:pPr>
                        <a:defRPr sz="900"/>
                      </a:pPr>
                      <a:t>[CATEGORY NAME]</a:t>
                    </a:fld>
                    <a:r>
                      <a:rPr lang="bg-BG" sz="900" baseline="0"/>
                      <a:t>
</a:t>
                    </a:r>
                    <a:fld id="{AFBD037A-BC58-413B-AEC1-577A9C95A25E}" type="VALUE">
                      <a:rPr lang="bg-BG" sz="900" baseline="0"/>
                      <a:pPr>
                        <a:defRPr sz="900"/>
                      </a:pPr>
                      <a:t>[VALUE]</a:t>
                    </a:fld>
                    <a:r>
                      <a:rPr lang="bg-BG" sz="900" baseline="0"/>
                      <a:t> доклада</a:t>
                    </a:r>
                  </a:p>
                </c:rich>
              </c:tx>
              <c:spPr>
                <a:solidFill>
                  <a:schemeClr val="bg1"/>
                </a:solidFill>
                <a:ln w="9525">
                  <a:solidFill>
                    <a:schemeClr val="bg1">
                      <a:lumMod val="50000"/>
                    </a:schemeClr>
                  </a:solid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6615235637018489"/>
                      <c:h val="0.16270679206210029"/>
                    </c:manualLayout>
                  </c15:layout>
                  <c15:dlblFieldTable/>
                  <c15:showDataLabelsRange val="0"/>
                </c:ext>
                <c:ext xmlns:c16="http://schemas.microsoft.com/office/drawing/2014/chart" uri="{C3380CC4-5D6E-409C-BE32-E72D297353CC}">
                  <c16:uniqueId val="{00000005-0F95-4452-AD74-42DED0CD2B99}"/>
                </c:ext>
              </c:extLst>
            </c:dLbl>
            <c:spPr>
              <a:solidFill>
                <a:schemeClr val="bg1"/>
              </a:solidFill>
              <a:ln w="9525">
                <a:solidFill>
                  <a:srgbClr val="FFFF00"/>
                </a:solidFill>
              </a:ln>
              <a:effectLst/>
            </c:spPr>
            <c:txPr>
              <a:bodyPr wrap="square" lIns="38100" tIns="19050" rIns="38100" bIns="19050" anchor="ctr">
                <a:spAutoFit/>
              </a:bodyPr>
              <a:lstStyle/>
              <a:p>
                <a:pPr>
                  <a:defRPr sz="900"/>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Lit>
              <c:ptCount val="3"/>
              <c:pt idx="0">
                <c:v>Провали</c:v>
              </c:pt>
              <c:pt idx="1">
                <c:v>Успехи</c:v>
              </c:pt>
              <c:pt idx="2">
                <c:v>Некласифицирани</c:v>
              </c:pt>
            </c:strLit>
          </c:cat>
          <c:val>
            <c:numRef>
              <c:f>[Government_Failure_2021_FINAL.xlsx]Графики!$G$6:$G$8</c:f>
              <c:numCache>
                <c:formatCode>General</c:formatCode>
                <c:ptCount val="3"/>
                <c:pt idx="0">
                  <c:v>438</c:v>
                </c:pt>
                <c:pt idx="1">
                  <c:v>257</c:v>
                </c:pt>
                <c:pt idx="2">
                  <c:v>340</c:v>
                </c:pt>
              </c:numCache>
            </c:numRef>
          </c:val>
          <c:extLst>
            <c:ext xmlns:c16="http://schemas.microsoft.com/office/drawing/2014/chart" uri="{C3380CC4-5D6E-409C-BE32-E72D297353CC}">
              <c16:uniqueId val="{00000006-0F95-4452-AD74-42DED0CD2B9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[Government_Failure_2021_FINAL.xlsx]Графики!$H$5</c:f>
              <c:strCache>
                <c:ptCount val="1"/>
                <c:pt idx="0">
                  <c:v>сума (млрд. лв.)</c:v>
                </c:pt>
              </c:strCache>
            </c:strRef>
          </c:tx>
          <c:dPt>
            <c:idx val="0"/>
            <c:bubble3D val="0"/>
            <c:spPr>
              <a:solidFill>
                <a:schemeClr val="accent2"/>
              </a:solidFill>
              <a:ln w="19050">
                <a:noFill/>
              </a:ln>
              <a:effectLst/>
            </c:spPr>
            <c:extLst>
              <c:ext xmlns:c16="http://schemas.microsoft.com/office/drawing/2014/chart" uri="{C3380CC4-5D6E-409C-BE32-E72D297353CC}">
                <c16:uniqueId val="{00000001-81BA-4205-BAE4-0B01983A3C5D}"/>
              </c:ext>
            </c:extLst>
          </c:dPt>
          <c:dPt>
            <c:idx val="1"/>
            <c:bubble3D val="0"/>
            <c:explosion val="1"/>
            <c:spPr>
              <a:solidFill>
                <a:schemeClr val="accent3"/>
              </a:solidFill>
              <a:ln w="19050">
                <a:solidFill>
                  <a:schemeClr val="accent3"/>
                </a:solidFill>
              </a:ln>
              <a:effectLst/>
            </c:spPr>
            <c:extLst>
              <c:ext xmlns:c16="http://schemas.microsoft.com/office/drawing/2014/chart" uri="{C3380CC4-5D6E-409C-BE32-E72D297353CC}">
                <c16:uniqueId val="{00000003-81BA-4205-BAE4-0B01983A3C5D}"/>
              </c:ext>
            </c:extLst>
          </c:dPt>
          <c:dPt>
            <c:idx val="2"/>
            <c:bubble3D val="0"/>
            <c:spPr>
              <a:solidFill>
                <a:schemeClr val="bg1">
                  <a:lumMod val="65000"/>
                </a:schemeClr>
              </a:solidFill>
              <a:ln w="19050">
                <a:solidFill>
                  <a:schemeClr val="bg1">
                    <a:lumMod val="65000"/>
                  </a:schemeClr>
                </a:solidFill>
              </a:ln>
              <a:effectLst/>
            </c:spPr>
            <c:extLst>
              <c:ext xmlns:c16="http://schemas.microsoft.com/office/drawing/2014/chart" uri="{C3380CC4-5D6E-409C-BE32-E72D297353CC}">
                <c16:uniqueId val="{00000005-81BA-4205-BAE4-0B01983A3C5D}"/>
              </c:ext>
            </c:extLst>
          </c:dPt>
          <c:dLbls>
            <c:dLbl>
              <c:idx val="0"/>
              <c:layout>
                <c:manualLayout>
                  <c:x val="-3.5161781247932331E-2"/>
                  <c:y val="2.760533140398017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E9670AC-12BC-4A89-8C8A-D1ADF37B33DB}" type="CATEGORYNAME">
                      <a:rPr lang="bg-BG" sz="900" b="0"/>
                      <a:pPr>
                        <a:defRPr/>
                      </a:pPr>
                      <a:t>[CATEGORY NAME]</a:t>
                    </a:fld>
                    <a:r>
                      <a:rPr lang="bg-BG" sz="900" b="0" baseline="0"/>
                      <a:t>
</a:t>
                    </a:r>
                    <a:fld id="{672680B7-7AEC-4D29-99E7-1D0C2DBB7071}" type="VALUE">
                      <a:rPr lang="bg-BG" sz="900" b="0" baseline="0"/>
                      <a:pPr>
                        <a:defRPr/>
                      </a:pPr>
                      <a:t>[VALUE]</a:t>
                    </a:fld>
                    <a:r>
                      <a:rPr lang="bg-BG" sz="900" b="0" baseline="0"/>
                      <a:t> млрд. лв.</a:t>
                    </a:r>
                  </a:p>
                </c:rich>
              </c:tx>
              <c:spPr>
                <a:solidFill>
                  <a:schemeClr val="bg1"/>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275961828300874"/>
                      <c:h val="0.19562512919775241"/>
                    </c:manualLayout>
                  </c15:layout>
                  <c15:dlblFieldTable/>
                  <c15:showDataLabelsRange val="0"/>
                </c:ext>
                <c:ext xmlns:c16="http://schemas.microsoft.com/office/drawing/2014/chart" uri="{C3380CC4-5D6E-409C-BE32-E72D297353CC}">
                  <c16:uniqueId val="{00000001-81BA-4205-BAE4-0B01983A3C5D}"/>
                </c:ext>
              </c:extLst>
            </c:dLbl>
            <c:dLbl>
              <c:idx val="1"/>
              <c:layout>
                <c:manualLayout>
                  <c:x val="8.5926759155105312E-3"/>
                  <c:y val="-8.5709084246330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F6F20E-395C-481A-A6EC-2221F5EC6849}" type="CATEGORYNAME">
                      <a:rPr lang="bg-BG" sz="900" b="0"/>
                      <a:pPr>
                        <a:defRPr/>
                      </a:pPr>
                      <a:t>[CATEGORY NAME]</a:t>
                    </a:fld>
                    <a:r>
                      <a:rPr lang="bg-BG" sz="900" b="0" baseline="0"/>
                      <a:t>
</a:t>
                    </a:r>
                    <a:fld id="{C0A2EBCF-2604-4DBF-A22C-F6E2924253AE}" type="VALUE">
                      <a:rPr lang="bg-BG" sz="900" b="0" baseline="0"/>
                      <a:pPr>
                        <a:defRPr/>
                      </a:pPr>
                      <a:t>[VALUE]</a:t>
                    </a:fld>
                    <a:r>
                      <a:rPr lang="bg-BG" sz="900" b="0" baseline="0"/>
                      <a:t> млрд. лв.</a:t>
                    </a:r>
                  </a:p>
                </c:rich>
              </c:tx>
              <c:spPr>
                <a:solidFill>
                  <a:schemeClr val="bg1"/>
                </a:solidFill>
                <a:ln>
                  <a:solidFill>
                    <a:schemeClr val="accent3"/>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5190454134409671"/>
                      <c:h val="0.15385901941254954"/>
                    </c:manualLayout>
                  </c15:layout>
                  <c15:dlblFieldTable/>
                  <c15:showDataLabelsRange val="0"/>
                </c:ext>
                <c:ext xmlns:c16="http://schemas.microsoft.com/office/drawing/2014/chart" uri="{C3380CC4-5D6E-409C-BE32-E72D297353CC}">
                  <c16:uniqueId val="{00000003-81BA-4205-BAE4-0B01983A3C5D}"/>
                </c:ext>
              </c:extLst>
            </c:dLbl>
            <c:dLbl>
              <c:idx val="2"/>
              <c:layout>
                <c:manualLayout>
                  <c:x val="1.5721564216237677E-2"/>
                  <c:y val="0.1501639636930824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B35D396-71FF-4DE4-B538-2CE5F94C5B61}" type="CATEGORYNAME">
                      <a:rPr lang="bg-BG" sz="900" b="0"/>
                      <a:pPr>
                        <a:defRPr/>
                      </a:pPr>
                      <a:t>[CATEGORY NAME]</a:t>
                    </a:fld>
                    <a:r>
                      <a:rPr lang="bg-BG" sz="900" b="0" baseline="0"/>
                      <a:t>
</a:t>
                    </a:r>
                    <a:fld id="{B70A9107-8F8C-428C-AFB5-034E40E971A3}" type="VALUE">
                      <a:rPr lang="bg-BG" sz="900" b="0" baseline="0"/>
                      <a:pPr>
                        <a:defRPr/>
                      </a:pPr>
                      <a:t>[VALUE]</a:t>
                    </a:fld>
                    <a:r>
                      <a:rPr lang="bg-BG" sz="900" b="0" baseline="0"/>
                      <a:t> млрд. лв.</a:t>
                    </a:r>
                  </a:p>
                </c:rich>
              </c:tx>
              <c:spPr>
                <a:solidFill>
                  <a:schemeClr val="bg1"/>
                </a:solidFill>
                <a:ln>
                  <a:solidFill>
                    <a:schemeClr val="bg1">
                      <a:lumMod val="6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39412977789541015"/>
                      <c:h val="0.18235957378835999"/>
                    </c:manualLayout>
                  </c15:layout>
                  <c15:dlblFieldTable/>
                  <c15:showDataLabelsRange val="0"/>
                </c:ext>
                <c:ext xmlns:c16="http://schemas.microsoft.com/office/drawing/2014/chart" uri="{C3380CC4-5D6E-409C-BE32-E72D297353CC}">
                  <c16:uniqueId val="{00000005-81BA-4205-BAE4-0B01983A3C5D}"/>
                </c:ext>
              </c:extLst>
            </c:dLbl>
            <c:spPr>
              <a:solidFill>
                <a:schemeClr val="bg1"/>
              </a:solid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[Government_Failure_2021_FINAL.xlsx]Графики!$B$6:$B$8</c:f>
              <c:strCache>
                <c:ptCount val="3"/>
                <c:pt idx="0">
                  <c:v>Провали</c:v>
                </c:pt>
                <c:pt idx="1">
                  <c:v>Успехи</c:v>
                </c:pt>
                <c:pt idx="2">
                  <c:v>Некласифицирани</c:v>
                </c:pt>
              </c:strCache>
            </c:strRef>
          </c:cat>
          <c:val>
            <c:numRef>
              <c:f>[Government_Failure_2021_FINAL.xlsx]Графики!$H$6:$H$8</c:f>
              <c:numCache>
                <c:formatCode>0.0</c:formatCode>
                <c:ptCount val="3"/>
                <c:pt idx="0">
                  <c:v>82.587000000000003</c:v>
                </c:pt>
                <c:pt idx="1">
                  <c:v>35.25</c:v>
                </c:pt>
                <c:pt idx="2">
                  <c:v>37.835999999999999</c:v>
                </c:pt>
              </c:numCache>
            </c:numRef>
          </c:val>
          <c:extLst>
            <c:ext xmlns:c16="http://schemas.microsoft.com/office/drawing/2014/chart" uri="{C3380CC4-5D6E-409C-BE32-E72D297353CC}">
              <c16:uniqueId val="{00000006-81BA-4205-BAE4-0B01983A3C5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areaChart>
        <c:grouping val="stacked"/>
        <c:varyColors val="0"/>
        <c:ser>
          <c:idx val="0"/>
          <c:order val="0"/>
          <c:tx>
            <c:strRef>
              <c:f>'[Government_Failure_2021_FINAL.xlsx]Графики (2)'!$A$3</c:f>
              <c:strCache>
                <c:ptCount val="1"/>
                <c:pt idx="0">
                  <c:v>Успех</c:v>
                </c:pt>
              </c:strCache>
            </c:strRef>
          </c:tx>
          <c:spPr>
            <a:solidFill>
              <a:schemeClr val="accent3"/>
            </a:solidFill>
          </c:spPr>
          <c:cat>
            <c:numRef>
              <c:f>'[Government_Failure_2021_FINAL.xlsx]Графики (2)'!$B$2:$X$2</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(2)'!$B$3:$X$3</c:f>
              <c:numCache>
                <c:formatCode>General</c:formatCode>
                <c:ptCount val="23"/>
                <c:pt idx="0">
                  <c:v>1</c:v>
                </c:pt>
                <c:pt idx="1">
                  <c:v>2</c:v>
                </c:pt>
                <c:pt idx="2">
                  <c:v>3</c:v>
                </c:pt>
                <c:pt idx="3">
                  <c:v>13</c:v>
                </c:pt>
                <c:pt idx="4">
                  <c:v>24</c:v>
                </c:pt>
                <c:pt idx="5">
                  <c:v>32</c:v>
                </c:pt>
                <c:pt idx="6">
                  <c:v>35</c:v>
                </c:pt>
                <c:pt idx="7">
                  <c:v>23</c:v>
                </c:pt>
                <c:pt idx="8">
                  <c:v>16</c:v>
                </c:pt>
                <c:pt idx="9">
                  <c:v>26</c:v>
                </c:pt>
                <c:pt idx="10">
                  <c:v>44</c:v>
                </c:pt>
                <c:pt idx="11">
                  <c:v>33</c:v>
                </c:pt>
                <c:pt idx="12">
                  <c:v>27</c:v>
                </c:pt>
                <c:pt idx="13">
                  <c:v>24</c:v>
                </c:pt>
                <c:pt idx="14">
                  <c:v>22</c:v>
                </c:pt>
                <c:pt idx="15">
                  <c:v>17</c:v>
                </c:pt>
                <c:pt idx="16">
                  <c:v>16</c:v>
                </c:pt>
                <c:pt idx="17">
                  <c:v>12</c:v>
                </c:pt>
                <c:pt idx="18">
                  <c:v>12</c:v>
                </c:pt>
                <c:pt idx="19">
                  <c:v>12</c:v>
                </c:pt>
                <c:pt idx="20">
                  <c:v>11</c:v>
                </c:pt>
                <c:pt idx="21">
                  <c:v>8</c:v>
                </c:pt>
                <c:pt idx="22">
                  <c:v>1</c:v>
                </c:pt>
              </c:numCache>
            </c:numRef>
          </c:val>
          <c:extLst>
            <c:ext xmlns:c16="http://schemas.microsoft.com/office/drawing/2014/chart" uri="{C3380CC4-5D6E-409C-BE32-E72D297353CC}">
              <c16:uniqueId val="{00000000-DE01-47BA-9F8C-120C898ABD9F}"/>
            </c:ext>
          </c:extLst>
        </c:ser>
        <c:ser>
          <c:idx val="1"/>
          <c:order val="1"/>
          <c:tx>
            <c:strRef>
              <c:f>'[Government_Failure_2021_FINAL.xlsx]Графики (2)'!$A$4</c:f>
              <c:strCache>
                <c:ptCount val="1"/>
                <c:pt idx="0">
                  <c:v>Некласифицирани</c:v>
                </c:pt>
              </c:strCache>
            </c:strRef>
          </c:tx>
          <c:spPr>
            <a:solidFill>
              <a:schemeClr val="bg1">
                <a:lumMod val="65000"/>
              </a:schemeClr>
            </a:solidFill>
          </c:spPr>
          <c:cat>
            <c:numRef>
              <c:f>'[Government_Failure_2021_FINAL.xlsx]Графики (2)'!$B$2:$X$2</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(2)'!$B$4:$X$4</c:f>
              <c:numCache>
                <c:formatCode>General</c:formatCode>
                <c:ptCount val="23"/>
                <c:pt idx="0">
                  <c:v>8</c:v>
                </c:pt>
                <c:pt idx="1">
                  <c:v>10</c:v>
                </c:pt>
                <c:pt idx="2">
                  <c:v>11</c:v>
                </c:pt>
                <c:pt idx="3">
                  <c:v>19</c:v>
                </c:pt>
                <c:pt idx="4">
                  <c:v>23</c:v>
                </c:pt>
                <c:pt idx="5">
                  <c:v>45</c:v>
                </c:pt>
                <c:pt idx="6">
                  <c:v>45</c:v>
                </c:pt>
                <c:pt idx="7">
                  <c:v>75</c:v>
                </c:pt>
                <c:pt idx="8">
                  <c:v>77</c:v>
                </c:pt>
                <c:pt idx="9">
                  <c:v>63</c:v>
                </c:pt>
                <c:pt idx="10">
                  <c:v>55</c:v>
                </c:pt>
                <c:pt idx="11">
                  <c:v>42</c:v>
                </c:pt>
                <c:pt idx="12">
                  <c:v>27</c:v>
                </c:pt>
                <c:pt idx="13">
                  <c:v>28</c:v>
                </c:pt>
                <c:pt idx="14">
                  <c:v>26</c:v>
                </c:pt>
                <c:pt idx="15">
                  <c:v>26</c:v>
                </c:pt>
                <c:pt idx="16">
                  <c:v>31</c:v>
                </c:pt>
                <c:pt idx="17">
                  <c:v>24</c:v>
                </c:pt>
                <c:pt idx="18">
                  <c:v>23</c:v>
                </c:pt>
                <c:pt idx="19">
                  <c:v>22</c:v>
                </c:pt>
                <c:pt idx="20">
                  <c:v>16</c:v>
                </c:pt>
                <c:pt idx="21">
                  <c:v>4</c:v>
                </c:pt>
                <c:pt idx="22">
                  <c:v>0</c:v>
                </c:pt>
              </c:numCache>
            </c:numRef>
          </c:val>
          <c:extLst>
            <c:ext xmlns:c16="http://schemas.microsoft.com/office/drawing/2014/chart" uri="{C3380CC4-5D6E-409C-BE32-E72D297353CC}">
              <c16:uniqueId val="{00000001-DE01-47BA-9F8C-120C898ABD9F}"/>
            </c:ext>
          </c:extLst>
        </c:ser>
        <c:ser>
          <c:idx val="2"/>
          <c:order val="2"/>
          <c:tx>
            <c:strRef>
              <c:f>'[Government_Failure_2021_FINAL.xlsx]Графики (2)'!$A$5</c:f>
              <c:strCache>
                <c:ptCount val="1"/>
                <c:pt idx="0">
                  <c:v>Провал</c:v>
                </c:pt>
              </c:strCache>
            </c:strRef>
          </c:tx>
          <c:spPr>
            <a:solidFill>
              <a:schemeClr val="accent2"/>
            </a:solidFill>
          </c:spPr>
          <c:cat>
            <c:numRef>
              <c:f>'[Government_Failure_2021_FINAL.xlsx]Графики (2)'!$B$2:$X$2</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(2)'!$B$5:$X$5</c:f>
              <c:numCache>
                <c:formatCode>General</c:formatCode>
                <c:ptCount val="23"/>
                <c:pt idx="0">
                  <c:v>25</c:v>
                </c:pt>
                <c:pt idx="1">
                  <c:v>31</c:v>
                </c:pt>
                <c:pt idx="2">
                  <c:v>40</c:v>
                </c:pt>
                <c:pt idx="3">
                  <c:v>50</c:v>
                </c:pt>
                <c:pt idx="4">
                  <c:v>73</c:v>
                </c:pt>
                <c:pt idx="5">
                  <c:v>78</c:v>
                </c:pt>
                <c:pt idx="6">
                  <c:v>74</c:v>
                </c:pt>
                <c:pt idx="7">
                  <c:v>104</c:v>
                </c:pt>
                <c:pt idx="8">
                  <c:v>78</c:v>
                </c:pt>
                <c:pt idx="9">
                  <c:v>73</c:v>
                </c:pt>
                <c:pt idx="10">
                  <c:v>88</c:v>
                </c:pt>
                <c:pt idx="11">
                  <c:v>76</c:v>
                </c:pt>
                <c:pt idx="12">
                  <c:v>52</c:v>
                </c:pt>
                <c:pt idx="13">
                  <c:v>55</c:v>
                </c:pt>
                <c:pt idx="14">
                  <c:v>54</c:v>
                </c:pt>
                <c:pt idx="15">
                  <c:v>46</c:v>
                </c:pt>
                <c:pt idx="16">
                  <c:v>44</c:v>
                </c:pt>
                <c:pt idx="17">
                  <c:v>40</c:v>
                </c:pt>
                <c:pt idx="18">
                  <c:v>39</c:v>
                </c:pt>
                <c:pt idx="19">
                  <c:v>28</c:v>
                </c:pt>
                <c:pt idx="20">
                  <c:v>15</c:v>
                </c:pt>
                <c:pt idx="21">
                  <c:v>3</c:v>
                </c:pt>
                <c:pt idx="22">
                  <c:v>1</c:v>
                </c:pt>
              </c:numCache>
            </c:numRef>
          </c:val>
          <c:extLst>
            <c:ext xmlns:c16="http://schemas.microsoft.com/office/drawing/2014/chart" uri="{C3380CC4-5D6E-409C-BE32-E72D297353CC}">
              <c16:uniqueId val="{00000002-DE01-47BA-9F8C-120C898ABD9F}"/>
            </c:ext>
          </c:extLst>
        </c:ser>
        <c:dLbls>
          <c:showLegendKey val="0"/>
          <c:showVal val="0"/>
          <c:showCatName val="0"/>
          <c:showSerName val="0"/>
          <c:showPercent val="0"/>
          <c:showBubbleSize val="0"/>
        </c:dLbls>
        <c:axId val="1230374144"/>
        <c:axId val="1230386656"/>
      </c:areaChart>
      <c:catAx>
        <c:axId val="1230374144"/>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1230386656"/>
        <c:crosses val="autoZero"/>
        <c:auto val="1"/>
        <c:lblAlgn val="ctr"/>
        <c:lblOffset val="100"/>
        <c:tickLblSkip val="1"/>
        <c:noMultiLvlLbl val="0"/>
      </c:catAx>
      <c:valAx>
        <c:axId val="1230386656"/>
        <c:scaling>
          <c:orientation val="minMax"/>
          <c:max val="210"/>
          <c:min val="0"/>
        </c:scaling>
        <c:delete val="0"/>
        <c:axPos val="l"/>
        <c:majorGridlines>
          <c:spPr>
            <a:ln w="3175">
              <a:prstDash val="sysDot"/>
            </a:ln>
          </c:spPr>
        </c:majorGridlines>
        <c:numFmt formatCode="General" sourceLinked="1"/>
        <c:majorTickMark val="none"/>
        <c:minorTickMark val="none"/>
        <c:tickLblPos val="nextTo"/>
        <c:spPr>
          <a:ln>
            <a:prstDash val="sysDot"/>
          </a:ln>
        </c:spPr>
        <c:txPr>
          <a:bodyPr/>
          <a:lstStyle/>
          <a:p>
            <a:pPr>
              <a:defRPr sz="900"/>
            </a:pPr>
            <a:endParaRPr lang="en-US"/>
          </a:p>
        </c:txPr>
        <c:crossAx val="1230374144"/>
        <c:crosses val="autoZero"/>
        <c:crossBetween val="midCat"/>
        <c:majorUnit val="20"/>
        <c:minorUnit val="10"/>
      </c:valAx>
      <c:dTable>
        <c:showHorzBorder val="1"/>
        <c:showVertBorder val="1"/>
        <c:showOutline val="1"/>
        <c:showKeys val="1"/>
        <c:txPr>
          <a:bodyPr/>
          <a:lstStyle/>
          <a:p>
            <a:pPr rtl="0">
              <a:defRPr sz="700"/>
            </a:pPr>
            <a:endParaRPr lang="en-US"/>
          </a:p>
        </c:txPr>
      </c:dTable>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5.1614740280772287E-2"/>
          <c:y val="3.5007938744424906E-2"/>
          <c:w val="0.92971859162728454"/>
          <c:h val="0.82346419753086419"/>
        </c:manualLayout>
      </c:layout>
      <c:barChart>
        <c:barDir val="col"/>
        <c:grouping val="clustered"/>
        <c:varyColors val="0"/>
        <c:ser>
          <c:idx val="0"/>
          <c:order val="0"/>
          <c:tx>
            <c:strRef>
              <c:f>'[Government_Failure_2021_FINAL.xlsx]Графики (2)'!$A$3</c:f>
              <c:strCache>
                <c:ptCount val="1"/>
                <c:pt idx="0">
                  <c:v>Успех</c:v>
                </c:pt>
              </c:strCache>
            </c:strRef>
          </c:tx>
          <c:spPr>
            <a:solidFill>
              <a:schemeClr val="accent3"/>
            </a:solidFill>
          </c:spPr>
          <c:invertIfNegative val="0"/>
          <c:dLbls>
            <c:spPr>
              <a:solidFill>
                <a:schemeClr val="bg1"/>
              </a:solidFill>
              <a:ln>
                <a:solidFill>
                  <a:srgbClr val="92D050"/>
                </a:solidFill>
              </a:ln>
            </c:spPr>
            <c:txPr>
              <a:bodyPr/>
              <a:lstStyle/>
              <a:p>
                <a:pPr>
                  <a:defRPr sz="10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'[Government_Failure_2021_FINAL.xlsx]Графики (2)'!$B$2:$X$2</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'[Government_Failure_2021_FINAL.xlsx]Графики (2)'!$B$3:$X$3</c:f>
              <c:numCache>
                <c:formatCode>General</c:formatCode>
                <c:ptCount val="23"/>
                <c:pt idx="0">
                  <c:v>1</c:v>
                </c:pt>
                <c:pt idx="1">
                  <c:v>2</c:v>
                </c:pt>
                <c:pt idx="2">
                  <c:v>3</c:v>
                </c:pt>
                <c:pt idx="3">
                  <c:v>13</c:v>
                </c:pt>
                <c:pt idx="4">
                  <c:v>24</c:v>
                </c:pt>
                <c:pt idx="5">
                  <c:v>32</c:v>
                </c:pt>
                <c:pt idx="6">
                  <c:v>35</c:v>
                </c:pt>
                <c:pt idx="7">
                  <c:v>23</c:v>
                </c:pt>
                <c:pt idx="8">
                  <c:v>16</c:v>
                </c:pt>
                <c:pt idx="9">
                  <c:v>26</c:v>
                </c:pt>
                <c:pt idx="10">
                  <c:v>44</c:v>
                </c:pt>
                <c:pt idx="11">
                  <c:v>33</c:v>
                </c:pt>
                <c:pt idx="12">
                  <c:v>27</c:v>
                </c:pt>
                <c:pt idx="13">
                  <c:v>24</c:v>
                </c:pt>
                <c:pt idx="14">
                  <c:v>22</c:v>
                </c:pt>
                <c:pt idx="15">
                  <c:v>17</c:v>
                </c:pt>
                <c:pt idx="16">
                  <c:v>16</c:v>
                </c:pt>
                <c:pt idx="17">
                  <c:v>12</c:v>
                </c:pt>
                <c:pt idx="18">
                  <c:v>12</c:v>
                </c:pt>
                <c:pt idx="19">
                  <c:v>12</c:v>
                </c:pt>
                <c:pt idx="20">
                  <c:v>11</c:v>
                </c:pt>
                <c:pt idx="21">
                  <c:v>8</c:v>
                </c:pt>
                <c:pt idx="22">
                  <c:v>1</c:v>
                </c:pt>
              </c:numCache>
            </c:numRef>
          </c:val>
          <c:extLst>
            <c:ext xmlns:c16="http://schemas.microsoft.com/office/drawing/2014/chart" uri="{C3380CC4-5D6E-409C-BE32-E72D297353CC}">
              <c16:uniqueId val="{00000000-6946-4310-B27B-F44F08C8EF0D}"/>
            </c:ext>
          </c:extLst>
        </c:ser>
        <c:dLbls>
          <c:showLegendKey val="0"/>
          <c:showVal val="0"/>
          <c:showCatName val="0"/>
          <c:showSerName val="0"/>
          <c:showPercent val="0"/>
          <c:showBubbleSize val="0"/>
        </c:dLbls>
        <c:gapWidth val="50"/>
        <c:axId val="1230376320"/>
        <c:axId val="1230377408"/>
      </c:barChart>
      <c:catAx>
        <c:axId val="12303763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30377408"/>
        <c:crosses val="autoZero"/>
        <c:auto val="1"/>
        <c:lblAlgn val="ctr"/>
        <c:lblOffset val="100"/>
        <c:noMultiLvlLbl val="0"/>
      </c:catAx>
      <c:valAx>
        <c:axId val="1230377408"/>
        <c:scaling>
          <c:orientation val="minMax"/>
        </c:scaling>
        <c:delete val="0"/>
        <c:axPos val="l"/>
        <c:numFmt formatCode="General" sourceLinked="1"/>
        <c:majorTickMark val="out"/>
        <c:minorTickMark val="none"/>
        <c:tickLblPos val="nextTo"/>
        <c:crossAx val="1230376320"/>
        <c:crosses val="autoZero"/>
        <c:crossBetween val="between"/>
        <c:majorUnit val="5"/>
      </c:valAx>
      <c:spPr>
        <a:ln>
          <a:noFill/>
        </a:ln>
      </c:spPr>
    </c:plotArea>
    <c:plotVisOnly val="1"/>
    <c:dispBlanksAs val="gap"/>
    <c:showDLblsOverMax val="0"/>
  </c:chart>
  <c:spPr>
    <a:solidFill>
      <a:sysClr val="window" lastClr="FFFFFF"/>
    </a:solid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7F0EAF-DFE1-4F0D-8988-77366AC3EEF9}" type="doc">
      <dgm:prSet loTypeId="urn:microsoft.com/office/officeart/2005/8/layout/list1" loCatId="list" qsTypeId="urn:microsoft.com/office/officeart/2005/8/quickstyle/simple4" qsCatId="simple" csTypeId="urn:microsoft.com/office/officeart/2005/8/colors/colorful1#1" csCatId="colorful" phldr="1"/>
      <dgm:spPr/>
      <dgm:t>
        <a:bodyPr/>
        <a:lstStyle/>
        <a:p>
          <a:endParaRPr lang="bg-BG"/>
        </a:p>
      </dgm:t>
    </dgm:pt>
    <dgm:pt modelId="{744D2854-FDCB-43FE-95CE-B23F96E5823F}">
      <dgm:prSet phldrT="[Text]" custT="1"/>
      <dgm:spPr>
        <a:solidFill>
          <a:schemeClr val="accent3"/>
        </a:solidFill>
      </dgm:spPr>
      <dgm:t>
        <a:bodyPr/>
        <a:lstStyle/>
        <a:p>
          <a:r>
            <a:rPr lang="bg-BG" sz="1400" b="1"/>
            <a:t>Индикатори за УСПЕХ</a:t>
          </a:r>
        </a:p>
      </dgm:t>
    </dgm:pt>
    <dgm:pt modelId="{78680555-55B3-4768-8B9D-56B30B1A6DED}" type="parTrans" cxnId="{D6045707-CA1E-4AF0-A637-E10ECD797278}">
      <dgm:prSet/>
      <dgm:spPr/>
      <dgm:t>
        <a:bodyPr/>
        <a:lstStyle/>
        <a:p>
          <a:endParaRPr lang="bg-BG"/>
        </a:p>
      </dgm:t>
    </dgm:pt>
    <dgm:pt modelId="{C3BB5277-C7F7-4350-987A-58FC2B81BF7B}" type="sibTrans" cxnId="{D6045707-CA1E-4AF0-A637-E10ECD797278}">
      <dgm:prSet/>
      <dgm:spPr/>
      <dgm:t>
        <a:bodyPr/>
        <a:lstStyle/>
        <a:p>
          <a:endParaRPr lang="bg-BG"/>
        </a:p>
      </dgm:t>
    </dgm:pt>
    <dgm:pt modelId="{5B20FF48-1106-4CBC-B4F5-D3F34CA5755D}">
      <dgm:prSet phldrT="[Text]" custT="1"/>
      <dgm:spPr>
        <a:ln>
          <a:solidFill>
            <a:schemeClr val="accent3"/>
          </a:solidFill>
        </a:ln>
      </dgm:spPr>
      <dgm:t>
        <a:bodyPr/>
        <a:lstStyle/>
        <a:p>
          <a:pPr algn="l"/>
          <a:r>
            <a:rPr lang="bg-BG" sz="1050"/>
            <a:t> </a:t>
          </a:r>
          <a:r>
            <a:rPr lang="bg-BG" sz="1100"/>
            <a:t>Правилно прилагане на нормативната уредба</a:t>
          </a:r>
        </a:p>
      </dgm:t>
    </dgm:pt>
    <dgm:pt modelId="{989AA76E-84AF-4AE7-B66B-BEE8EB114F74}" type="parTrans" cxnId="{0703BCA1-8EBE-4923-AFB4-A335B0E07F2A}">
      <dgm:prSet/>
      <dgm:spPr/>
      <dgm:t>
        <a:bodyPr/>
        <a:lstStyle/>
        <a:p>
          <a:endParaRPr lang="bg-BG"/>
        </a:p>
      </dgm:t>
    </dgm:pt>
    <dgm:pt modelId="{2175536E-1B1C-4CCE-81FB-FD8F7CD5536B}" type="sibTrans" cxnId="{0703BCA1-8EBE-4923-AFB4-A335B0E07F2A}">
      <dgm:prSet/>
      <dgm:spPr/>
      <dgm:t>
        <a:bodyPr/>
        <a:lstStyle/>
        <a:p>
          <a:endParaRPr lang="bg-BG"/>
        </a:p>
      </dgm:t>
    </dgm:pt>
    <dgm:pt modelId="{4F8308B3-9ED2-4393-8204-32A3860B6E02}">
      <dgm:prSet phldrT="[Text]" custT="1"/>
      <dgm:spPr>
        <a:solidFill>
          <a:schemeClr val="accent2"/>
        </a:solidFill>
      </dgm:spPr>
      <dgm:t>
        <a:bodyPr/>
        <a:lstStyle/>
        <a:p>
          <a:r>
            <a:rPr lang="bg-BG" sz="1400" b="1"/>
            <a:t>Индикатори за ПРОВАЛ</a:t>
          </a:r>
        </a:p>
      </dgm:t>
    </dgm:pt>
    <dgm:pt modelId="{1C363575-95C5-4B65-9D8F-709D1543D442}" type="parTrans" cxnId="{C328EAAB-E694-4CB8-A02D-EBF903F1A917}">
      <dgm:prSet/>
      <dgm:spPr/>
      <dgm:t>
        <a:bodyPr/>
        <a:lstStyle/>
        <a:p>
          <a:endParaRPr lang="bg-BG"/>
        </a:p>
      </dgm:t>
    </dgm:pt>
    <dgm:pt modelId="{BFE102EC-47D6-41A9-9C00-10BB9E002573}" type="sibTrans" cxnId="{C328EAAB-E694-4CB8-A02D-EBF903F1A917}">
      <dgm:prSet/>
      <dgm:spPr/>
      <dgm:t>
        <a:bodyPr/>
        <a:lstStyle/>
        <a:p>
          <a:endParaRPr lang="bg-BG"/>
        </a:p>
      </dgm:t>
    </dgm:pt>
    <dgm:pt modelId="{5B43E765-63DD-45CA-8654-B46A116C0C7E}">
      <dgm:prSet phldrT="[Text]" custT="1"/>
      <dgm:spPr>
        <a:ln>
          <a:solidFill>
            <a:schemeClr val="accent2"/>
          </a:solidFill>
        </a:ln>
      </dgm:spPr>
      <dgm:t>
        <a:bodyPr/>
        <a:lstStyle/>
        <a:p>
          <a:r>
            <a:rPr lang="bg-BG" sz="1100"/>
            <a:t> Неизпълнение на поставените цели</a:t>
          </a:r>
        </a:p>
      </dgm:t>
    </dgm:pt>
    <dgm:pt modelId="{94E5CE69-E9D3-429F-8A4C-E2E5C723B09F}" type="parTrans" cxnId="{73BBEDF3-BE01-4A31-821C-FC1FC261B4B4}">
      <dgm:prSet/>
      <dgm:spPr/>
      <dgm:t>
        <a:bodyPr/>
        <a:lstStyle/>
        <a:p>
          <a:endParaRPr lang="bg-BG"/>
        </a:p>
      </dgm:t>
    </dgm:pt>
    <dgm:pt modelId="{DA4A1607-B549-4B98-AA93-28F40042FDF1}" type="sibTrans" cxnId="{73BBEDF3-BE01-4A31-821C-FC1FC261B4B4}">
      <dgm:prSet/>
      <dgm:spPr/>
      <dgm:t>
        <a:bodyPr/>
        <a:lstStyle/>
        <a:p>
          <a:endParaRPr lang="bg-BG"/>
        </a:p>
      </dgm:t>
    </dgm:pt>
    <dgm:pt modelId="{08AA5A88-A9BC-4129-B8A7-F2185364037A}">
      <dgm:prSet custT="1"/>
      <dgm:spPr>
        <a:ln>
          <a:solidFill>
            <a:schemeClr val="accent2"/>
          </a:solidFill>
        </a:ln>
      </dgm:spPr>
      <dgm:t>
        <a:bodyPr/>
        <a:lstStyle/>
        <a:p>
          <a:r>
            <a:rPr lang="bg-BG" sz="1100"/>
            <a:t> Необосновани харчове</a:t>
          </a:r>
        </a:p>
      </dgm:t>
    </dgm:pt>
    <dgm:pt modelId="{2ED38FC7-CB61-4191-AE48-B9B170698178}" type="parTrans" cxnId="{CB5F031F-3767-465D-95E4-C9C34F3BC430}">
      <dgm:prSet/>
      <dgm:spPr/>
      <dgm:t>
        <a:bodyPr/>
        <a:lstStyle/>
        <a:p>
          <a:endParaRPr lang="bg-BG"/>
        </a:p>
      </dgm:t>
    </dgm:pt>
    <dgm:pt modelId="{378A27AD-D1C2-44D4-AAAE-0CFD8750B146}" type="sibTrans" cxnId="{CB5F031F-3767-465D-95E4-C9C34F3BC430}">
      <dgm:prSet/>
      <dgm:spPr/>
      <dgm:t>
        <a:bodyPr/>
        <a:lstStyle/>
        <a:p>
          <a:endParaRPr lang="bg-BG"/>
        </a:p>
      </dgm:t>
    </dgm:pt>
    <dgm:pt modelId="{F062F434-B73D-4761-8FCC-2CC0F97F8849}">
      <dgm:prSet custT="1"/>
      <dgm:spPr>
        <a:ln>
          <a:solidFill>
            <a:schemeClr val="accent2"/>
          </a:solidFill>
        </a:ln>
      </dgm:spPr>
      <dgm:t>
        <a:bodyPr/>
        <a:lstStyle/>
        <a:p>
          <a:r>
            <a:rPr lang="bg-BG" sz="1100"/>
            <a:t> Неикономично използване на финансовите средства</a:t>
          </a:r>
        </a:p>
      </dgm:t>
    </dgm:pt>
    <dgm:pt modelId="{A0B8B74D-2FF5-45A0-948E-3061986C8022}" type="parTrans" cxnId="{56525E33-B827-4500-88BE-FA9E1A3101EA}">
      <dgm:prSet/>
      <dgm:spPr/>
      <dgm:t>
        <a:bodyPr/>
        <a:lstStyle/>
        <a:p>
          <a:endParaRPr lang="bg-BG"/>
        </a:p>
      </dgm:t>
    </dgm:pt>
    <dgm:pt modelId="{66D5B2DF-88CA-43FF-B2C3-47DDAE0D903B}" type="sibTrans" cxnId="{56525E33-B827-4500-88BE-FA9E1A3101EA}">
      <dgm:prSet/>
      <dgm:spPr/>
      <dgm:t>
        <a:bodyPr/>
        <a:lstStyle/>
        <a:p>
          <a:endParaRPr lang="bg-BG"/>
        </a:p>
      </dgm:t>
    </dgm:pt>
    <dgm:pt modelId="{2EB1C2D4-FD46-4FC2-A77B-618EF0B50C39}">
      <dgm:prSet custT="1"/>
      <dgm:spPr>
        <a:ln>
          <a:solidFill>
            <a:schemeClr val="accent2"/>
          </a:solidFill>
        </a:ln>
      </dgm:spPr>
      <dgm:t>
        <a:bodyPr/>
        <a:lstStyle/>
        <a:p>
          <a:r>
            <a:rPr lang="bg-BG" sz="1100"/>
            <a:t> Липса на утвърдени правила и процедури при възлагането на обществени поръчки</a:t>
          </a:r>
        </a:p>
      </dgm:t>
    </dgm:pt>
    <dgm:pt modelId="{9A182568-D435-4881-8BFD-F1B606128916}" type="parTrans" cxnId="{DF9063B1-5F9D-4783-A93E-167D7DC90EF8}">
      <dgm:prSet/>
      <dgm:spPr/>
      <dgm:t>
        <a:bodyPr/>
        <a:lstStyle/>
        <a:p>
          <a:endParaRPr lang="bg-BG"/>
        </a:p>
      </dgm:t>
    </dgm:pt>
    <dgm:pt modelId="{E8712F76-46E3-4FAF-9B24-39F766A2B5EB}" type="sibTrans" cxnId="{DF9063B1-5F9D-4783-A93E-167D7DC90EF8}">
      <dgm:prSet/>
      <dgm:spPr/>
      <dgm:t>
        <a:bodyPr/>
        <a:lstStyle/>
        <a:p>
          <a:endParaRPr lang="bg-BG"/>
        </a:p>
      </dgm:t>
    </dgm:pt>
    <dgm:pt modelId="{92C2E1C4-357F-43C2-95A8-7826324442AB}">
      <dgm:prSet custT="1"/>
      <dgm:spPr>
        <a:ln>
          <a:solidFill>
            <a:schemeClr val="accent2"/>
          </a:solidFill>
        </a:ln>
      </dgm:spPr>
      <dgm:t>
        <a:bodyPr/>
        <a:lstStyle/>
        <a:p>
          <a:r>
            <a:rPr lang="bg-BG" sz="1100"/>
            <a:t> Липса на прозрачност при определяне на размера на финансовите средства</a:t>
          </a:r>
        </a:p>
      </dgm:t>
    </dgm:pt>
    <dgm:pt modelId="{36DD7DAA-7C32-4878-A9A7-9C06DB3054F6}" type="parTrans" cxnId="{BE509CF6-7431-4728-A50A-9ED4B5F74155}">
      <dgm:prSet/>
      <dgm:spPr/>
      <dgm:t>
        <a:bodyPr/>
        <a:lstStyle/>
        <a:p>
          <a:endParaRPr lang="bg-BG"/>
        </a:p>
      </dgm:t>
    </dgm:pt>
    <dgm:pt modelId="{C6EF0FFF-8CA5-4EBD-B593-1BF6A75AE709}" type="sibTrans" cxnId="{BE509CF6-7431-4728-A50A-9ED4B5F74155}">
      <dgm:prSet/>
      <dgm:spPr/>
      <dgm:t>
        <a:bodyPr/>
        <a:lstStyle/>
        <a:p>
          <a:endParaRPr lang="bg-BG"/>
        </a:p>
      </dgm:t>
    </dgm:pt>
    <dgm:pt modelId="{85706A7C-E90C-4045-B61D-B70F3EFC4B26}">
      <dgm:prSet custT="1"/>
      <dgm:spPr>
        <a:ln>
          <a:solidFill>
            <a:schemeClr val="accent2"/>
          </a:solidFill>
        </a:ln>
      </dgm:spPr>
      <dgm:t>
        <a:bodyPr/>
        <a:lstStyle/>
        <a:p>
          <a:r>
            <a:rPr lang="bg-BG" sz="1100"/>
            <a:t> Липса на показатели за изпълнение на целите</a:t>
          </a:r>
        </a:p>
      </dgm:t>
    </dgm:pt>
    <dgm:pt modelId="{077F390C-7438-4BF5-B8DB-7E095EBC6DC3}" type="parTrans" cxnId="{47A7E57A-7FFE-4CC9-81E1-60FA6F4EEE6A}">
      <dgm:prSet/>
      <dgm:spPr/>
      <dgm:t>
        <a:bodyPr/>
        <a:lstStyle/>
        <a:p>
          <a:endParaRPr lang="bg-BG"/>
        </a:p>
      </dgm:t>
    </dgm:pt>
    <dgm:pt modelId="{122D7C8F-6F5E-4D77-9DC8-E3DF6674AB7A}" type="sibTrans" cxnId="{47A7E57A-7FFE-4CC9-81E1-60FA6F4EEE6A}">
      <dgm:prSet/>
      <dgm:spPr/>
      <dgm:t>
        <a:bodyPr/>
        <a:lstStyle/>
        <a:p>
          <a:endParaRPr lang="bg-BG"/>
        </a:p>
      </dgm:t>
    </dgm:pt>
    <dgm:pt modelId="{5F59EDE6-550B-46C7-8F08-A5A975B7CE3B}">
      <dgm:prSet custT="1"/>
      <dgm:spPr>
        <a:ln>
          <a:solidFill>
            <a:schemeClr val="accent2"/>
          </a:solidFill>
        </a:ln>
      </dgm:spPr>
      <dgm:t>
        <a:bodyPr/>
        <a:lstStyle/>
        <a:p>
          <a:r>
            <a:rPr lang="bg-BG" sz="1100"/>
            <a:t> Недостоверно счетоводно отчитане</a:t>
          </a:r>
        </a:p>
      </dgm:t>
    </dgm:pt>
    <dgm:pt modelId="{1A32DB87-5BE3-49DB-8C3F-31B4E09A06C2}" type="parTrans" cxnId="{DA59A65A-A001-42B8-A526-C2BE7AF8EFC0}">
      <dgm:prSet/>
      <dgm:spPr/>
      <dgm:t>
        <a:bodyPr/>
        <a:lstStyle/>
        <a:p>
          <a:endParaRPr lang="bg-BG"/>
        </a:p>
      </dgm:t>
    </dgm:pt>
    <dgm:pt modelId="{4E20DF99-8809-4826-B337-0041D443C394}" type="sibTrans" cxnId="{DA59A65A-A001-42B8-A526-C2BE7AF8EFC0}">
      <dgm:prSet/>
      <dgm:spPr/>
      <dgm:t>
        <a:bodyPr/>
        <a:lstStyle/>
        <a:p>
          <a:endParaRPr lang="bg-BG"/>
        </a:p>
      </dgm:t>
    </dgm:pt>
    <dgm:pt modelId="{07048178-CD83-42E8-9AF9-9068D7F189A4}">
      <dgm:prSet custT="1"/>
      <dgm:spPr>
        <a:ln>
          <a:solidFill>
            <a:schemeClr val="accent2"/>
          </a:solidFill>
        </a:ln>
      </dgm:spPr>
      <dgm:t>
        <a:bodyPr/>
        <a:lstStyle/>
        <a:p>
          <a:r>
            <a:rPr lang="bg-BG" sz="1100"/>
            <a:t> Съществени нарушения при възлагането на обществените поръчки</a:t>
          </a:r>
        </a:p>
      </dgm:t>
    </dgm:pt>
    <dgm:pt modelId="{C1B67643-1F7C-493B-ABF9-D3C1C54F55B8}" type="parTrans" cxnId="{4D802CBF-EEC8-4501-B33C-BC5EF997B30D}">
      <dgm:prSet/>
      <dgm:spPr/>
      <dgm:t>
        <a:bodyPr/>
        <a:lstStyle/>
        <a:p>
          <a:endParaRPr lang="bg-BG"/>
        </a:p>
      </dgm:t>
    </dgm:pt>
    <dgm:pt modelId="{D674F79B-79BA-4185-B27D-11A8A9226A6D}" type="sibTrans" cxnId="{4D802CBF-EEC8-4501-B33C-BC5EF997B30D}">
      <dgm:prSet/>
      <dgm:spPr/>
      <dgm:t>
        <a:bodyPr/>
        <a:lstStyle/>
        <a:p>
          <a:endParaRPr lang="bg-BG"/>
        </a:p>
      </dgm:t>
    </dgm:pt>
    <dgm:pt modelId="{D49C516A-4F8A-4BAA-B35F-EDAED9AF5431}">
      <dgm:prSet custT="1"/>
      <dgm:spPr>
        <a:ln>
          <a:solidFill>
            <a:schemeClr val="accent2"/>
          </a:solidFill>
        </a:ln>
      </dgm:spPr>
      <dgm:t>
        <a:bodyPr/>
        <a:lstStyle/>
        <a:p>
          <a:r>
            <a:rPr lang="bg-BG" sz="1100"/>
            <a:t> Лошо управление на имуществото</a:t>
          </a:r>
        </a:p>
      </dgm:t>
    </dgm:pt>
    <dgm:pt modelId="{AAAB394E-63D4-465E-A1CF-4808FE2F5B70}" type="parTrans" cxnId="{22BCFC13-AB1C-4228-81FF-99CB14BC9B9C}">
      <dgm:prSet/>
      <dgm:spPr/>
      <dgm:t>
        <a:bodyPr/>
        <a:lstStyle/>
        <a:p>
          <a:endParaRPr lang="bg-BG"/>
        </a:p>
      </dgm:t>
    </dgm:pt>
    <dgm:pt modelId="{8CBB87F2-3B36-4F31-B92A-C957C6673CF2}" type="sibTrans" cxnId="{22BCFC13-AB1C-4228-81FF-99CB14BC9B9C}">
      <dgm:prSet/>
      <dgm:spPr/>
      <dgm:t>
        <a:bodyPr/>
        <a:lstStyle/>
        <a:p>
          <a:endParaRPr lang="bg-BG"/>
        </a:p>
      </dgm:t>
    </dgm:pt>
    <dgm:pt modelId="{B7717319-6180-46D2-9198-10BAF087844A}">
      <dgm:prSet custT="1"/>
      <dgm:spPr>
        <a:ln>
          <a:solidFill>
            <a:schemeClr val="accent2"/>
          </a:solidFill>
        </a:ln>
      </dgm:spPr>
      <dgm:t>
        <a:bodyPr/>
        <a:lstStyle/>
        <a:p>
          <a:r>
            <a:rPr lang="bg-BG" sz="1100"/>
            <a:t> Незаконосъобразност на сключени договори</a:t>
          </a:r>
        </a:p>
      </dgm:t>
    </dgm:pt>
    <dgm:pt modelId="{C441275C-B383-4F55-A3A6-78201350D4D9}" type="parTrans" cxnId="{F2113106-49BE-4285-9A73-739EC751CC52}">
      <dgm:prSet/>
      <dgm:spPr/>
      <dgm:t>
        <a:bodyPr/>
        <a:lstStyle/>
        <a:p>
          <a:endParaRPr lang="bg-BG"/>
        </a:p>
      </dgm:t>
    </dgm:pt>
    <dgm:pt modelId="{5C67F5A4-82F3-4990-8743-8E927EF3B8AA}" type="sibTrans" cxnId="{F2113106-49BE-4285-9A73-739EC751CC52}">
      <dgm:prSet/>
      <dgm:spPr/>
      <dgm:t>
        <a:bodyPr/>
        <a:lstStyle/>
        <a:p>
          <a:endParaRPr lang="bg-BG"/>
        </a:p>
      </dgm:t>
    </dgm:pt>
    <dgm:pt modelId="{EFBA1BB9-FF16-4C56-A9A5-D0189C10FD95}">
      <dgm:prSet custT="1"/>
      <dgm:spPr>
        <a:ln>
          <a:solidFill>
            <a:schemeClr val="accent2"/>
          </a:solidFill>
        </a:ln>
      </dgm:spPr>
      <dgm:t>
        <a:bodyPr/>
        <a:lstStyle/>
        <a:p>
          <a:r>
            <a:rPr lang="bg-BG" sz="1100"/>
            <a:t> Липса на контролни механизми</a:t>
          </a:r>
        </a:p>
      </dgm:t>
    </dgm:pt>
    <dgm:pt modelId="{2990A975-E6B3-4A93-94D7-D850593C094A}" type="parTrans" cxnId="{720E050B-36BC-4B0B-9881-8EAC469EF918}">
      <dgm:prSet/>
      <dgm:spPr/>
      <dgm:t>
        <a:bodyPr/>
        <a:lstStyle/>
        <a:p>
          <a:endParaRPr lang="bg-BG"/>
        </a:p>
      </dgm:t>
    </dgm:pt>
    <dgm:pt modelId="{B39673A4-618C-4BF4-B891-C71D18137C66}" type="sibTrans" cxnId="{720E050B-36BC-4B0B-9881-8EAC469EF918}">
      <dgm:prSet/>
      <dgm:spPr/>
      <dgm:t>
        <a:bodyPr/>
        <a:lstStyle/>
        <a:p>
          <a:endParaRPr lang="bg-BG"/>
        </a:p>
      </dgm:t>
    </dgm:pt>
    <dgm:pt modelId="{0853D977-277D-46D5-945A-8D853384D5CC}">
      <dgm:prSet custT="1"/>
      <dgm:spPr>
        <a:ln>
          <a:solidFill>
            <a:schemeClr val="accent2"/>
          </a:solidFill>
        </a:ln>
      </dgm:spPr>
      <dgm:t>
        <a:bodyPr/>
        <a:lstStyle/>
        <a:p>
          <a:r>
            <a:rPr lang="bg-BG" sz="1100"/>
            <a:t> Неквалифициран персонал</a:t>
          </a:r>
        </a:p>
      </dgm:t>
    </dgm:pt>
    <dgm:pt modelId="{CFC251FD-6431-4E3D-AB01-432DD8552DC7}" type="parTrans" cxnId="{DA8C1EF0-2DFD-43C7-8A9C-37BE6903E591}">
      <dgm:prSet/>
      <dgm:spPr/>
      <dgm:t>
        <a:bodyPr/>
        <a:lstStyle/>
        <a:p>
          <a:endParaRPr lang="bg-BG"/>
        </a:p>
      </dgm:t>
    </dgm:pt>
    <dgm:pt modelId="{7943C6FB-35B1-4822-9B0D-BB71335B12E5}" type="sibTrans" cxnId="{DA8C1EF0-2DFD-43C7-8A9C-37BE6903E591}">
      <dgm:prSet/>
      <dgm:spPr/>
      <dgm:t>
        <a:bodyPr/>
        <a:lstStyle/>
        <a:p>
          <a:endParaRPr lang="bg-BG"/>
        </a:p>
      </dgm:t>
    </dgm:pt>
    <dgm:pt modelId="{6E5D6D67-6C82-4E60-A75C-4EE516041EC2}">
      <dgm:prSet custT="1"/>
      <dgm:spPr>
        <a:ln>
          <a:solidFill>
            <a:schemeClr val="accent3"/>
          </a:solidFill>
        </a:ln>
      </dgm:spPr>
      <dgm:t>
        <a:bodyPr/>
        <a:lstStyle/>
        <a:p>
          <a:pPr algn="l"/>
          <a:r>
            <a:rPr lang="bg-BG" sz="1100"/>
            <a:t> Постигане на целите</a:t>
          </a:r>
        </a:p>
      </dgm:t>
    </dgm:pt>
    <dgm:pt modelId="{35255F60-1217-438F-B59D-224B26135506}" type="sibTrans" cxnId="{19849D14-1645-4855-A597-B6D7571ED53A}">
      <dgm:prSet/>
      <dgm:spPr/>
      <dgm:t>
        <a:bodyPr/>
        <a:lstStyle/>
        <a:p>
          <a:endParaRPr lang="bg-BG"/>
        </a:p>
      </dgm:t>
    </dgm:pt>
    <dgm:pt modelId="{0ED065D1-63F1-42B9-8A13-7E9729313A4C}" type="parTrans" cxnId="{19849D14-1645-4855-A597-B6D7571ED53A}">
      <dgm:prSet/>
      <dgm:spPr/>
      <dgm:t>
        <a:bodyPr/>
        <a:lstStyle/>
        <a:p>
          <a:endParaRPr lang="bg-BG"/>
        </a:p>
      </dgm:t>
    </dgm:pt>
    <dgm:pt modelId="{31320CB1-7B8F-47B5-8ABA-928A4B3878AA}">
      <dgm:prSet custT="1"/>
      <dgm:spPr>
        <a:ln>
          <a:solidFill>
            <a:schemeClr val="accent3"/>
          </a:solidFill>
        </a:ln>
      </dgm:spPr>
      <dgm:t>
        <a:bodyPr/>
        <a:lstStyle/>
        <a:p>
          <a:pPr algn="l"/>
          <a:r>
            <a:rPr lang="bg-BG" sz="1100"/>
            <a:t> Работеща стратегия за управление на рисковете</a:t>
          </a:r>
        </a:p>
      </dgm:t>
    </dgm:pt>
    <dgm:pt modelId="{E858EB7D-2979-41D4-B346-4021B227BE23}" type="sibTrans" cxnId="{9F69ECBB-F572-4655-88D4-FEC28422F50C}">
      <dgm:prSet/>
      <dgm:spPr/>
      <dgm:t>
        <a:bodyPr/>
        <a:lstStyle/>
        <a:p>
          <a:endParaRPr lang="bg-BG"/>
        </a:p>
      </dgm:t>
    </dgm:pt>
    <dgm:pt modelId="{1A5670AF-86EF-4AE5-8202-B0D7E9811B86}" type="parTrans" cxnId="{9F69ECBB-F572-4655-88D4-FEC28422F50C}">
      <dgm:prSet/>
      <dgm:spPr/>
      <dgm:t>
        <a:bodyPr/>
        <a:lstStyle/>
        <a:p>
          <a:endParaRPr lang="bg-BG"/>
        </a:p>
      </dgm:t>
    </dgm:pt>
    <dgm:pt modelId="{B5F08487-80EA-4188-BFCF-466BABF903C1}">
      <dgm:prSet custT="1"/>
      <dgm:spPr>
        <a:ln>
          <a:solidFill>
            <a:schemeClr val="accent3"/>
          </a:solidFill>
        </a:ln>
      </dgm:spPr>
      <dgm:t>
        <a:bodyPr/>
        <a:lstStyle/>
        <a:p>
          <a:pPr algn="l"/>
          <a:r>
            <a:rPr lang="bg-BG" sz="1100"/>
            <a:t> Ефективни контролни процедури</a:t>
          </a:r>
        </a:p>
      </dgm:t>
    </dgm:pt>
    <dgm:pt modelId="{F77E8461-7317-40FE-BE46-610B9276C8D8}" type="sibTrans" cxnId="{792BD319-6CB7-4867-A044-BCAB1706C5E5}">
      <dgm:prSet/>
      <dgm:spPr/>
      <dgm:t>
        <a:bodyPr/>
        <a:lstStyle/>
        <a:p>
          <a:endParaRPr lang="bg-BG"/>
        </a:p>
      </dgm:t>
    </dgm:pt>
    <dgm:pt modelId="{4390304E-43B8-4D08-92BF-D7B08CE79874}" type="parTrans" cxnId="{792BD319-6CB7-4867-A044-BCAB1706C5E5}">
      <dgm:prSet/>
      <dgm:spPr/>
      <dgm:t>
        <a:bodyPr/>
        <a:lstStyle/>
        <a:p>
          <a:endParaRPr lang="bg-BG"/>
        </a:p>
      </dgm:t>
    </dgm:pt>
    <dgm:pt modelId="{DB638559-E216-476F-82F1-299CF28E6839}">
      <dgm:prSet custT="1"/>
      <dgm:spPr>
        <a:ln>
          <a:solidFill>
            <a:schemeClr val="accent3"/>
          </a:solidFill>
        </a:ln>
      </dgm:spPr>
      <dgm:t>
        <a:bodyPr/>
        <a:lstStyle/>
        <a:p>
          <a:pPr algn="l"/>
          <a:r>
            <a:rPr lang="bg-BG" sz="1100"/>
            <a:t> Точно счетоводно отчитане</a:t>
          </a:r>
        </a:p>
      </dgm:t>
    </dgm:pt>
    <dgm:pt modelId="{B7D9A951-ACF5-4DDC-8BA0-574DAEF63DAE}" type="sibTrans" cxnId="{26BBC09A-DEB8-4915-AB32-3F7F1CC5CA00}">
      <dgm:prSet/>
      <dgm:spPr/>
      <dgm:t>
        <a:bodyPr/>
        <a:lstStyle/>
        <a:p>
          <a:endParaRPr lang="bg-BG"/>
        </a:p>
      </dgm:t>
    </dgm:pt>
    <dgm:pt modelId="{537F8162-8B9E-404E-B5C3-FC03845058C3}" type="parTrans" cxnId="{26BBC09A-DEB8-4915-AB32-3F7F1CC5CA00}">
      <dgm:prSet/>
      <dgm:spPr/>
      <dgm:t>
        <a:bodyPr/>
        <a:lstStyle/>
        <a:p>
          <a:endParaRPr lang="bg-BG"/>
        </a:p>
      </dgm:t>
    </dgm:pt>
    <dgm:pt modelId="{71CA66CF-A70C-41C1-81C5-1F50B9B048AA}">
      <dgm:prSet custT="1"/>
      <dgm:spPr>
        <a:ln>
          <a:solidFill>
            <a:schemeClr val="accent3"/>
          </a:solidFill>
        </a:ln>
      </dgm:spPr>
      <dgm:t>
        <a:bodyPr/>
        <a:lstStyle/>
        <a:p>
          <a:pPr algn="l"/>
          <a:r>
            <a:rPr lang="bg-BG" sz="1100"/>
            <a:t> Ясни отговорности и ефективна комуникация</a:t>
          </a:r>
        </a:p>
      </dgm:t>
    </dgm:pt>
    <dgm:pt modelId="{E215A08C-FAE6-4D3F-BFFF-C364F3AA2351}" type="sibTrans" cxnId="{3660C263-46E5-455D-BE6D-6361FBDF326C}">
      <dgm:prSet/>
      <dgm:spPr/>
      <dgm:t>
        <a:bodyPr/>
        <a:lstStyle/>
        <a:p>
          <a:endParaRPr lang="bg-BG"/>
        </a:p>
      </dgm:t>
    </dgm:pt>
    <dgm:pt modelId="{82D99315-4905-417D-B92A-A5E3772C4C6E}" type="parTrans" cxnId="{3660C263-46E5-455D-BE6D-6361FBDF326C}">
      <dgm:prSet/>
      <dgm:spPr/>
      <dgm:t>
        <a:bodyPr/>
        <a:lstStyle/>
        <a:p>
          <a:endParaRPr lang="bg-BG"/>
        </a:p>
      </dgm:t>
    </dgm:pt>
    <dgm:pt modelId="{3CB539A9-D8C0-4FA6-BD63-E441F92AAA9E}">
      <dgm:prSet custT="1"/>
      <dgm:spPr>
        <a:ln>
          <a:solidFill>
            <a:schemeClr val="accent3"/>
          </a:solidFill>
        </a:ln>
      </dgm:spPr>
      <dgm:t>
        <a:bodyPr/>
        <a:lstStyle/>
        <a:p>
          <a:pPr algn="l"/>
          <a:r>
            <a:rPr lang="bg-BG" sz="1100"/>
            <a:t> Ефективно управление на имуществото</a:t>
          </a:r>
        </a:p>
      </dgm:t>
    </dgm:pt>
    <dgm:pt modelId="{89285392-4387-4DF8-B3A7-261606DDB76B}" type="sibTrans" cxnId="{3A558333-CFCA-43F9-9636-89D1BF77AFF9}">
      <dgm:prSet/>
      <dgm:spPr/>
      <dgm:t>
        <a:bodyPr/>
        <a:lstStyle/>
        <a:p>
          <a:endParaRPr lang="bg-BG"/>
        </a:p>
      </dgm:t>
    </dgm:pt>
    <dgm:pt modelId="{75BD78A8-92E8-4D06-916C-A74BD8305C60}" type="parTrans" cxnId="{3A558333-CFCA-43F9-9636-89D1BF77AFF9}">
      <dgm:prSet/>
      <dgm:spPr/>
      <dgm:t>
        <a:bodyPr/>
        <a:lstStyle/>
        <a:p>
          <a:endParaRPr lang="bg-BG"/>
        </a:p>
      </dgm:t>
    </dgm:pt>
    <dgm:pt modelId="{94985601-4BE0-4C33-A25D-8E3E8000C28E}">
      <dgm:prSet custT="1"/>
      <dgm:spPr>
        <a:ln>
          <a:solidFill>
            <a:schemeClr val="accent3"/>
          </a:solidFill>
        </a:ln>
      </dgm:spPr>
      <dgm:t>
        <a:bodyPr/>
        <a:lstStyle/>
        <a:p>
          <a:pPr algn="l"/>
          <a:r>
            <a:rPr lang="bg-BG" sz="1100"/>
            <a:t> Спазване на изискванията при възлагане на обществени поръчки</a:t>
          </a:r>
        </a:p>
      </dgm:t>
    </dgm:pt>
    <dgm:pt modelId="{D15FE7A0-5142-4044-8811-639B9BFC9892}" type="sibTrans" cxnId="{F2C25142-08C7-481E-8E18-35115ED19FD4}">
      <dgm:prSet/>
      <dgm:spPr/>
      <dgm:t>
        <a:bodyPr/>
        <a:lstStyle/>
        <a:p>
          <a:endParaRPr lang="bg-BG"/>
        </a:p>
      </dgm:t>
    </dgm:pt>
    <dgm:pt modelId="{5E23056D-96BC-44BD-8623-132D4012C512}" type="parTrans" cxnId="{F2C25142-08C7-481E-8E18-35115ED19FD4}">
      <dgm:prSet/>
      <dgm:spPr/>
      <dgm:t>
        <a:bodyPr/>
        <a:lstStyle/>
        <a:p>
          <a:endParaRPr lang="bg-BG"/>
        </a:p>
      </dgm:t>
    </dgm:pt>
    <dgm:pt modelId="{A08495E8-9219-49D7-82FD-1D72E0B3004D}">
      <dgm:prSet custT="1"/>
      <dgm:spPr>
        <a:ln>
          <a:solidFill>
            <a:schemeClr val="accent3"/>
          </a:solidFill>
        </a:ln>
      </dgm:spPr>
      <dgm:t>
        <a:bodyPr/>
        <a:lstStyle/>
        <a:p>
          <a:pPr algn="l"/>
          <a:r>
            <a:rPr lang="bg-BG" sz="1100"/>
            <a:t> Добро финансово управление на бюджетните средства</a:t>
          </a:r>
        </a:p>
      </dgm:t>
    </dgm:pt>
    <dgm:pt modelId="{D661EA8C-7C81-41FC-B520-C5F16BA9EFCD}" type="sibTrans" cxnId="{78E58243-DD5B-41E7-B19E-A3062097F0D3}">
      <dgm:prSet/>
      <dgm:spPr/>
      <dgm:t>
        <a:bodyPr/>
        <a:lstStyle/>
        <a:p>
          <a:endParaRPr lang="bg-BG"/>
        </a:p>
      </dgm:t>
    </dgm:pt>
    <dgm:pt modelId="{3C0FA2E9-BB46-4000-B1BE-3FC607AE4F70}" type="parTrans" cxnId="{78E58243-DD5B-41E7-B19E-A3062097F0D3}">
      <dgm:prSet/>
      <dgm:spPr/>
      <dgm:t>
        <a:bodyPr/>
        <a:lstStyle/>
        <a:p>
          <a:endParaRPr lang="bg-BG"/>
        </a:p>
      </dgm:t>
    </dgm:pt>
    <dgm:pt modelId="{32E6A4B6-3012-493C-A2D1-AB973BF3B1A5}">
      <dgm:prSet custT="1"/>
      <dgm:spPr>
        <a:ln>
          <a:solidFill>
            <a:schemeClr val="accent3"/>
          </a:solidFill>
        </a:ln>
      </dgm:spPr>
      <dgm:t>
        <a:bodyPr/>
        <a:lstStyle/>
        <a:p>
          <a:pPr algn="l"/>
          <a:r>
            <a:rPr lang="bg-BG" sz="1100"/>
            <a:t> Спазване на заложените срокове</a:t>
          </a:r>
        </a:p>
      </dgm:t>
    </dgm:pt>
    <dgm:pt modelId="{79606A2D-6029-490F-980B-E8ABB62C0861}" type="sibTrans" cxnId="{2B0DD041-FB97-4FE4-B18E-1BB5D8FC4DA9}">
      <dgm:prSet/>
      <dgm:spPr/>
      <dgm:t>
        <a:bodyPr/>
        <a:lstStyle/>
        <a:p>
          <a:endParaRPr lang="bg-BG"/>
        </a:p>
      </dgm:t>
    </dgm:pt>
    <dgm:pt modelId="{5DD27B9E-F53E-42E7-93B7-FD153F85227A}" type="parTrans" cxnId="{2B0DD041-FB97-4FE4-B18E-1BB5D8FC4DA9}">
      <dgm:prSet/>
      <dgm:spPr/>
      <dgm:t>
        <a:bodyPr/>
        <a:lstStyle/>
        <a:p>
          <a:endParaRPr lang="bg-BG"/>
        </a:p>
      </dgm:t>
    </dgm:pt>
    <dgm:pt modelId="{5AAF564E-2C7A-4B79-9139-ADDB31711937}" type="pres">
      <dgm:prSet presAssocID="{7B7F0EAF-DFE1-4F0D-8988-77366AC3EEF9}" presName="linear" presStyleCnt="0">
        <dgm:presLayoutVars>
          <dgm:dir/>
          <dgm:animLvl val="lvl"/>
          <dgm:resizeHandles val="exact"/>
        </dgm:presLayoutVars>
      </dgm:prSet>
      <dgm:spPr/>
      <dgm:t>
        <a:bodyPr/>
        <a:lstStyle/>
        <a:p>
          <a:endParaRPr lang="bg-BG"/>
        </a:p>
      </dgm:t>
    </dgm:pt>
    <dgm:pt modelId="{114B4826-36B1-4F23-85EA-991AD9240176}" type="pres">
      <dgm:prSet presAssocID="{744D2854-FDCB-43FE-95CE-B23F96E5823F}" presName="parentLin" presStyleCnt="0"/>
      <dgm:spPr/>
    </dgm:pt>
    <dgm:pt modelId="{8B26BC05-E8A0-4CA3-8775-F1631EF5DBDA}" type="pres">
      <dgm:prSet presAssocID="{744D2854-FDCB-43FE-95CE-B23F96E5823F}" presName="parentLeftMargin" presStyleLbl="node1" presStyleIdx="0" presStyleCnt="2"/>
      <dgm:spPr/>
      <dgm:t>
        <a:bodyPr/>
        <a:lstStyle/>
        <a:p>
          <a:endParaRPr lang="bg-BG"/>
        </a:p>
      </dgm:t>
    </dgm:pt>
    <dgm:pt modelId="{B0E4DC9C-7B96-472E-A5C4-4C78C8A685B7}" type="pres">
      <dgm:prSet presAssocID="{744D2854-FDCB-43FE-95CE-B23F96E5823F}" presName="parentText" presStyleLbl="node1" presStyleIdx="0" presStyleCnt="2">
        <dgm:presLayoutVars>
          <dgm:chMax val="0"/>
          <dgm:bulletEnabled val="1"/>
        </dgm:presLayoutVars>
      </dgm:prSet>
      <dgm:spPr/>
      <dgm:t>
        <a:bodyPr/>
        <a:lstStyle/>
        <a:p>
          <a:endParaRPr lang="bg-BG"/>
        </a:p>
      </dgm:t>
    </dgm:pt>
    <dgm:pt modelId="{F8BCA414-6AB2-4F7E-BB7E-55B33058C0DE}" type="pres">
      <dgm:prSet presAssocID="{744D2854-FDCB-43FE-95CE-B23F96E5823F}" presName="negativeSpace" presStyleCnt="0"/>
      <dgm:spPr/>
    </dgm:pt>
    <dgm:pt modelId="{A54D8990-408B-4AFC-8577-4407EDC07FAC}" type="pres">
      <dgm:prSet presAssocID="{744D2854-FDCB-43FE-95CE-B23F96E5823F}" presName="childText" presStyleLbl="conFgAcc1" presStyleIdx="0" presStyleCnt="2">
        <dgm:presLayoutVars>
          <dgm:bulletEnabled val="1"/>
        </dgm:presLayoutVars>
      </dgm:prSet>
      <dgm:spPr/>
      <dgm:t>
        <a:bodyPr/>
        <a:lstStyle/>
        <a:p>
          <a:endParaRPr lang="bg-BG"/>
        </a:p>
      </dgm:t>
    </dgm:pt>
    <dgm:pt modelId="{4D226122-18F8-4D5B-91D3-6D2082AACB12}" type="pres">
      <dgm:prSet presAssocID="{C3BB5277-C7F7-4350-987A-58FC2B81BF7B}" presName="spaceBetweenRectangles" presStyleCnt="0"/>
      <dgm:spPr/>
    </dgm:pt>
    <dgm:pt modelId="{47805D07-6664-4ED8-9B63-F7FE6DE619BC}" type="pres">
      <dgm:prSet presAssocID="{4F8308B3-9ED2-4393-8204-32A3860B6E02}" presName="parentLin" presStyleCnt="0"/>
      <dgm:spPr/>
    </dgm:pt>
    <dgm:pt modelId="{3E59962B-FA2F-4D98-AD30-B88F89D33028}" type="pres">
      <dgm:prSet presAssocID="{4F8308B3-9ED2-4393-8204-32A3860B6E02}" presName="parentLeftMargin" presStyleLbl="node1" presStyleIdx="0" presStyleCnt="2"/>
      <dgm:spPr/>
      <dgm:t>
        <a:bodyPr/>
        <a:lstStyle/>
        <a:p>
          <a:endParaRPr lang="bg-BG"/>
        </a:p>
      </dgm:t>
    </dgm:pt>
    <dgm:pt modelId="{213F2956-DCC6-424C-A43B-990487899CE1}" type="pres">
      <dgm:prSet presAssocID="{4F8308B3-9ED2-4393-8204-32A3860B6E02}" presName="parentText" presStyleLbl="node1" presStyleIdx="1" presStyleCnt="2">
        <dgm:presLayoutVars>
          <dgm:chMax val="0"/>
          <dgm:bulletEnabled val="1"/>
        </dgm:presLayoutVars>
      </dgm:prSet>
      <dgm:spPr/>
      <dgm:t>
        <a:bodyPr/>
        <a:lstStyle/>
        <a:p>
          <a:endParaRPr lang="bg-BG"/>
        </a:p>
      </dgm:t>
    </dgm:pt>
    <dgm:pt modelId="{C12D0682-B410-4DAE-8502-F11D2EEA6677}" type="pres">
      <dgm:prSet presAssocID="{4F8308B3-9ED2-4393-8204-32A3860B6E02}" presName="negativeSpace" presStyleCnt="0"/>
      <dgm:spPr/>
    </dgm:pt>
    <dgm:pt modelId="{A25AB85D-F77E-449C-B43D-05C0BF44BEEE}" type="pres">
      <dgm:prSet presAssocID="{4F8308B3-9ED2-4393-8204-32A3860B6E02}" presName="childText" presStyleLbl="conFgAcc1" presStyleIdx="1" presStyleCnt="2">
        <dgm:presLayoutVars>
          <dgm:bulletEnabled val="1"/>
        </dgm:presLayoutVars>
      </dgm:prSet>
      <dgm:spPr/>
      <dgm:t>
        <a:bodyPr/>
        <a:lstStyle/>
        <a:p>
          <a:endParaRPr lang="bg-BG"/>
        </a:p>
      </dgm:t>
    </dgm:pt>
  </dgm:ptLst>
  <dgm:cxnLst>
    <dgm:cxn modelId="{DC8EA6AE-D412-46D5-B007-98ADD7CFD4DD}" type="presOf" srcId="{6E5D6D67-6C82-4E60-A75C-4EE516041EC2}" destId="{A54D8990-408B-4AFC-8577-4407EDC07FAC}" srcOrd="0" destOrd="9" presId="urn:microsoft.com/office/officeart/2005/8/layout/list1"/>
    <dgm:cxn modelId="{3660C263-46E5-455D-BE6D-6361FBDF326C}" srcId="{744D2854-FDCB-43FE-95CE-B23F96E5823F}" destId="{71CA66CF-A70C-41C1-81C5-1F50B9B048AA}" srcOrd="5" destOrd="0" parTransId="{82D99315-4905-417D-B92A-A5E3772C4C6E}" sibTransId="{E215A08C-FAE6-4D3F-BFFF-C364F3AA2351}"/>
    <dgm:cxn modelId="{96663767-B6B0-40F6-BCBD-AF67064917CC}" type="presOf" srcId="{B5F08487-80EA-4188-BFCF-466BABF903C1}" destId="{A54D8990-408B-4AFC-8577-4407EDC07FAC}" srcOrd="0" destOrd="7" presId="urn:microsoft.com/office/officeart/2005/8/layout/list1"/>
    <dgm:cxn modelId="{D31C2848-C53C-4199-877F-111B8CAA028D}" type="presOf" srcId="{7B7F0EAF-DFE1-4F0D-8988-77366AC3EEF9}" destId="{5AAF564E-2C7A-4B79-9139-ADDB31711937}" srcOrd="0" destOrd="0" presId="urn:microsoft.com/office/officeart/2005/8/layout/list1"/>
    <dgm:cxn modelId="{792BD319-6CB7-4867-A044-BCAB1706C5E5}" srcId="{744D2854-FDCB-43FE-95CE-B23F96E5823F}" destId="{B5F08487-80EA-4188-BFCF-466BABF903C1}" srcOrd="7" destOrd="0" parTransId="{4390304E-43B8-4D08-92BF-D7B08CE79874}" sibTransId="{F77E8461-7317-40FE-BE46-610B9276C8D8}"/>
    <dgm:cxn modelId="{720E050B-36BC-4B0B-9881-8EAC469EF918}" srcId="{4F8308B3-9ED2-4393-8204-32A3860B6E02}" destId="{EFBA1BB9-FF16-4C56-A9A5-D0189C10FD95}" srcOrd="10" destOrd="0" parTransId="{2990A975-E6B3-4A93-94D7-D850593C094A}" sibTransId="{B39673A4-618C-4BF4-B891-C71D18137C66}"/>
    <dgm:cxn modelId="{F81F52D5-ED6F-4BEF-916E-AB6F3195BE6A}" type="presOf" srcId="{744D2854-FDCB-43FE-95CE-B23F96E5823F}" destId="{B0E4DC9C-7B96-472E-A5C4-4C78C8A685B7}" srcOrd="1" destOrd="0" presId="urn:microsoft.com/office/officeart/2005/8/layout/list1"/>
    <dgm:cxn modelId="{DA59A65A-A001-42B8-A526-C2BE7AF8EFC0}" srcId="{4F8308B3-9ED2-4393-8204-32A3860B6E02}" destId="{5F59EDE6-550B-46C7-8F08-A5A975B7CE3B}" srcOrd="6" destOrd="0" parTransId="{1A32DB87-5BE3-49DB-8C3F-31B4E09A06C2}" sibTransId="{4E20DF99-8809-4826-B337-0041D443C394}"/>
    <dgm:cxn modelId="{B48DC02C-1312-4FB5-9CE2-128F6E3E4264}" type="presOf" srcId="{D49C516A-4F8A-4BAA-B35F-EDAED9AF5431}" destId="{A25AB85D-F77E-449C-B43D-05C0BF44BEEE}" srcOrd="0" destOrd="8" presId="urn:microsoft.com/office/officeart/2005/8/layout/list1"/>
    <dgm:cxn modelId="{47A7E57A-7FFE-4CC9-81E1-60FA6F4EEE6A}" srcId="{4F8308B3-9ED2-4393-8204-32A3860B6E02}" destId="{85706A7C-E90C-4045-B61D-B70F3EFC4B26}" srcOrd="5" destOrd="0" parTransId="{077F390C-7438-4BF5-B8DB-7E095EBC6DC3}" sibTransId="{122D7C8F-6F5E-4D77-9DC8-E3DF6674AB7A}"/>
    <dgm:cxn modelId="{0C4FA1CE-BF87-43A4-A150-DDBC6A7B4171}" type="presOf" srcId="{31320CB1-7B8F-47B5-8ABA-928A4B3878AA}" destId="{A54D8990-408B-4AFC-8577-4407EDC07FAC}" srcOrd="0" destOrd="8" presId="urn:microsoft.com/office/officeart/2005/8/layout/list1"/>
    <dgm:cxn modelId="{73BBEDF3-BE01-4A31-821C-FC1FC261B4B4}" srcId="{4F8308B3-9ED2-4393-8204-32A3860B6E02}" destId="{5B43E765-63DD-45CA-8654-B46A116C0C7E}" srcOrd="0" destOrd="0" parTransId="{94E5CE69-E9D3-429F-8A4C-E2E5C723B09F}" sibTransId="{DA4A1607-B549-4B98-AA93-28F40042FDF1}"/>
    <dgm:cxn modelId="{CB5F031F-3767-465D-95E4-C9C34F3BC430}" srcId="{4F8308B3-9ED2-4393-8204-32A3860B6E02}" destId="{08AA5A88-A9BC-4129-B8A7-F2185364037A}" srcOrd="1" destOrd="0" parTransId="{2ED38FC7-CB61-4191-AE48-B9B170698178}" sibTransId="{378A27AD-D1C2-44D4-AAAE-0CFD8750B146}"/>
    <dgm:cxn modelId="{BEBF4890-E947-4CCC-8943-12D9C058D54B}" type="presOf" srcId="{0853D977-277D-46D5-945A-8D853384D5CC}" destId="{A25AB85D-F77E-449C-B43D-05C0BF44BEEE}" srcOrd="0" destOrd="11" presId="urn:microsoft.com/office/officeart/2005/8/layout/list1"/>
    <dgm:cxn modelId="{4D802CBF-EEC8-4501-B33C-BC5EF997B30D}" srcId="{4F8308B3-9ED2-4393-8204-32A3860B6E02}" destId="{07048178-CD83-42E8-9AF9-9068D7F189A4}" srcOrd="7" destOrd="0" parTransId="{C1B67643-1F7C-493B-ABF9-D3C1C54F55B8}" sibTransId="{D674F79B-79BA-4185-B27D-11A8A9226A6D}"/>
    <dgm:cxn modelId="{78E58243-DD5B-41E7-B19E-A3062097F0D3}" srcId="{744D2854-FDCB-43FE-95CE-B23F96E5823F}" destId="{A08495E8-9219-49D7-82FD-1D72E0B3004D}" srcOrd="2" destOrd="0" parTransId="{3C0FA2E9-BB46-4000-B1BE-3FC607AE4F70}" sibTransId="{D661EA8C-7C81-41FC-B520-C5F16BA9EFCD}"/>
    <dgm:cxn modelId="{3A558333-CFCA-43F9-9636-89D1BF77AFF9}" srcId="{744D2854-FDCB-43FE-95CE-B23F96E5823F}" destId="{3CB539A9-D8C0-4FA6-BD63-E441F92AAA9E}" srcOrd="4" destOrd="0" parTransId="{75BD78A8-92E8-4D06-916C-A74BD8305C60}" sibTransId="{89285392-4387-4DF8-B3A7-261606DDB76B}"/>
    <dgm:cxn modelId="{880C82B6-3196-4011-BC90-9F4C1CE80EC2}" type="presOf" srcId="{5B20FF48-1106-4CBC-B4F5-D3F34CA5755D}" destId="{A54D8990-408B-4AFC-8577-4407EDC07FAC}" srcOrd="0" destOrd="0" presId="urn:microsoft.com/office/officeart/2005/8/layout/list1"/>
    <dgm:cxn modelId="{D6045707-CA1E-4AF0-A637-E10ECD797278}" srcId="{7B7F0EAF-DFE1-4F0D-8988-77366AC3EEF9}" destId="{744D2854-FDCB-43FE-95CE-B23F96E5823F}" srcOrd="0" destOrd="0" parTransId="{78680555-55B3-4768-8B9D-56B30B1A6DED}" sibTransId="{C3BB5277-C7F7-4350-987A-58FC2B81BF7B}"/>
    <dgm:cxn modelId="{DA8C1EF0-2DFD-43C7-8A9C-37BE6903E591}" srcId="{4F8308B3-9ED2-4393-8204-32A3860B6E02}" destId="{0853D977-277D-46D5-945A-8D853384D5CC}" srcOrd="11" destOrd="0" parTransId="{CFC251FD-6431-4E3D-AB01-432DD8552DC7}" sibTransId="{7943C6FB-35B1-4822-9B0D-BB71335B12E5}"/>
    <dgm:cxn modelId="{8B8D83FD-1CEC-418D-A660-5E9FCA6EC1EE}" type="presOf" srcId="{71CA66CF-A70C-41C1-81C5-1F50B9B048AA}" destId="{A54D8990-408B-4AFC-8577-4407EDC07FAC}" srcOrd="0" destOrd="5" presId="urn:microsoft.com/office/officeart/2005/8/layout/list1"/>
    <dgm:cxn modelId="{57B4E3D5-B6FC-4FC3-AB40-9F41925CDA77}" type="presOf" srcId="{4F8308B3-9ED2-4393-8204-32A3860B6E02}" destId="{3E59962B-FA2F-4D98-AD30-B88F89D33028}" srcOrd="0" destOrd="0" presId="urn:microsoft.com/office/officeart/2005/8/layout/list1"/>
    <dgm:cxn modelId="{37D73725-4AA7-4AF6-BB98-3944A06BDD1D}" type="presOf" srcId="{DB638559-E216-476F-82F1-299CF28E6839}" destId="{A54D8990-408B-4AFC-8577-4407EDC07FAC}" srcOrd="0" destOrd="6" presId="urn:microsoft.com/office/officeart/2005/8/layout/list1"/>
    <dgm:cxn modelId="{1F29BA91-D37A-42E0-81A2-5FDE54E1955D}" type="presOf" srcId="{3CB539A9-D8C0-4FA6-BD63-E441F92AAA9E}" destId="{A54D8990-408B-4AFC-8577-4407EDC07FAC}" srcOrd="0" destOrd="4" presId="urn:microsoft.com/office/officeart/2005/8/layout/list1"/>
    <dgm:cxn modelId="{EC43DB25-ABDE-4C20-9F23-7292176521BF}" type="presOf" srcId="{85706A7C-E90C-4045-B61D-B70F3EFC4B26}" destId="{A25AB85D-F77E-449C-B43D-05C0BF44BEEE}" srcOrd="0" destOrd="5" presId="urn:microsoft.com/office/officeart/2005/8/layout/list1"/>
    <dgm:cxn modelId="{93957AB8-D953-400B-A936-CF555FA68386}" type="presOf" srcId="{2EB1C2D4-FD46-4FC2-A77B-618EF0B50C39}" destId="{A25AB85D-F77E-449C-B43D-05C0BF44BEEE}" srcOrd="0" destOrd="3" presId="urn:microsoft.com/office/officeart/2005/8/layout/list1"/>
    <dgm:cxn modelId="{94B24589-7C06-4904-91AB-26AE82F5CEF8}" type="presOf" srcId="{08AA5A88-A9BC-4129-B8A7-F2185364037A}" destId="{A25AB85D-F77E-449C-B43D-05C0BF44BEEE}" srcOrd="0" destOrd="1" presId="urn:microsoft.com/office/officeart/2005/8/layout/list1"/>
    <dgm:cxn modelId="{BE509CF6-7431-4728-A50A-9ED4B5F74155}" srcId="{4F8308B3-9ED2-4393-8204-32A3860B6E02}" destId="{92C2E1C4-357F-43C2-95A8-7826324442AB}" srcOrd="4" destOrd="0" parTransId="{36DD7DAA-7C32-4878-A9A7-9C06DB3054F6}" sibTransId="{C6EF0FFF-8CA5-4EBD-B593-1BF6A75AE709}"/>
    <dgm:cxn modelId="{DF9F1E16-222B-48F5-8E80-E4A881BF9552}" type="presOf" srcId="{A08495E8-9219-49D7-82FD-1D72E0B3004D}" destId="{A54D8990-408B-4AFC-8577-4407EDC07FAC}" srcOrd="0" destOrd="2" presId="urn:microsoft.com/office/officeart/2005/8/layout/list1"/>
    <dgm:cxn modelId="{DF9063B1-5F9D-4783-A93E-167D7DC90EF8}" srcId="{4F8308B3-9ED2-4393-8204-32A3860B6E02}" destId="{2EB1C2D4-FD46-4FC2-A77B-618EF0B50C39}" srcOrd="3" destOrd="0" parTransId="{9A182568-D435-4881-8BFD-F1B606128916}" sibTransId="{E8712F76-46E3-4FAF-9B24-39F766A2B5EB}"/>
    <dgm:cxn modelId="{C61C8FB6-0560-4FEC-BFA8-5FE155AE951C}" type="presOf" srcId="{5F59EDE6-550B-46C7-8F08-A5A975B7CE3B}" destId="{A25AB85D-F77E-449C-B43D-05C0BF44BEEE}" srcOrd="0" destOrd="6" presId="urn:microsoft.com/office/officeart/2005/8/layout/list1"/>
    <dgm:cxn modelId="{489A3683-894E-4BB9-9395-E7C223757021}" type="presOf" srcId="{B7717319-6180-46D2-9198-10BAF087844A}" destId="{A25AB85D-F77E-449C-B43D-05C0BF44BEEE}" srcOrd="0" destOrd="9" presId="urn:microsoft.com/office/officeart/2005/8/layout/list1"/>
    <dgm:cxn modelId="{2B0DD041-FB97-4FE4-B18E-1BB5D8FC4DA9}" srcId="{744D2854-FDCB-43FE-95CE-B23F96E5823F}" destId="{32E6A4B6-3012-493C-A2D1-AB973BF3B1A5}" srcOrd="1" destOrd="0" parTransId="{5DD27B9E-F53E-42E7-93B7-FD153F85227A}" sibTransId="{79606A2D-6029-490F-980B-E8ABB62C0861}"/>
    <dgm:cxn modelId="{F2113106-49BE-4285-9A73-739EC751CC52}" srcId="{4F8308B3-9ED2-4393-8204-32A3860B6E02}" destId="{B7717319-6180-46D2-9198-10BAF087844A}" srcOrd="9" destOrd="0" parTransId="{C441275C-B383-4F55-A3A6-78201350D4D9}" sibTransId="{5C67F5A4-82F3-4990-8743-8E927EF3B8AA}"/>
    <dgm:cxn modelId="{C328EAAB-E694-4CB8-A02D-EBF903F1A917}" srcId="{7B7F0EAF-DFE1-4F0D-8988-77366AC3EEF9}" destId="{4F8308B3-9ED2-4393-8204-32A3860B6E02}" srcOrd="1" destOrd="0" parTransId="{1C363575-95C5-4B65-9D8F-709D1543D442}" sibTransId="{BFE102EC-47D6-41A9-9C00-10BB9E002573}"/>
    <dgm:cxn modelId="{9DF1C005-A4D2-4C77-AD67-7F6BA606D7DF}" type="presOf" srcId="{92C2E1C4-357F-43C2-95A8-7826324442AB}" destId="{A25AB85D-F77E-449C-B43D-05C0BF44BEEE}" srcOrd="0" destOrd="4" presId="urn:microsoft.com/office/officeart/2005/8/layout/list1"/>
    <dgm:cxn modelId="{0703BCA1-8EBE-4923-AFB4-A335B0E07F2A}" srcId="{744D2854-FDCB-43FE-95CE-B23F96E5823F}" destId="{5B20FF48-1106-4CBC-B4F5-D3F34CA5755D}" srcOrd="0" destOrd="0" parTransId="{989AA76E-84AF-4AE7-B66B-BEE8EB114F74}" sibTransId="{2175536E-1B1C-4CCE-81FB-FD8F7CD5536B}"/>
    <dgm:cxn modelId="{56525E33-B827-4500-88BE-FA9E1A3101EA}" srcId="{4F8308B3-9ED2-4393-8204-32A3860B6E02}" destId="{F062F434-B73D-4761-8FCC-2CC0F97F8849}" srcOrd="2" destOrd="0" parTransId="{A0B8B74D-2FF5-45A0-948E-3061986C8022}" sibTransId="{66D5B2DF-88CA-43FF-B2C3-47DDAE0D903B}"/>
    <dgm:cxn modelId="{82229BA8-ADCF-4834-877E-5E8E546E3541}" type="presOf" srcId="{07048178-CD83-42E8-9AF9-9068D7F189A4}" destId="{A25AB85D-F77E-449C-B43D-05C0BF44BEEE}" srcOrd="0" destOrd="7" presId="urn:microsoft.com/office/officeart/2005/8/layout/list1"/>
    <dgm:cxn modelId="{E8E792AC-C83B-4143-B1CB-DEA700A53CE3}" type="presOf" srcId="{744D2854-FDCB-43FE-95CE-B23F96E5823F}" destId="{8B26BC05-E8A0-4CA3-8775-F1631EF5DBDA}" srcOrd="0" destOrd="0" presId="urn:microsoft.com/office/officeart/2005/8/layout/list1"/>
    <dgm:cxn modelId="{9F69ECBB-F572-4655-88D4-FEC28422F50C}" srcId="{744D2854-FDCB-43FE-95CE-B23F96E5823F}" destId="{31320CB1-7B8F-47B5-8ABA-928A4B3878AA}" srcOrd="8" destOrd="0" parTransId="{1A5670AF-86EF-4AE5-8202-B0D7E9811B86}" sibTransId="{E858EB7D-2979-41D4-B346-4021B227BE23}"/>
    <dgm:cxn modelId="{1AC5181E-9EAA-4DD8-8E51-1ECB0C0B00B8}" type="presOf" srcId="{4F8308B3-9ED2-4393-8204-32A3860B6E02}" destId="{213F2956-DCC6-424C-A43B-990487899CE1}" srcOrd="1" destOrd="0" presId="urn:microsoft.com/office/officeart/2005/8/layout/list1"/>
    <dgm:cxn modelId="{19849D14-1645-4855-A597-B6D7571ED53A}" srcId="{744D2854-FDCB-43FE-95CE-B23F96E5823F}" destId="{6E5D6D67-6C82-4E60-A75C-4EE516041EC2}" srcOrd="9" destOrd="0" parTransId="{0ED065D1-63F1-42B9-8A13-7E9729313A4C}" sibTransId="{35255F60-1217-438F-B59D-224B26135506}"/>
    <dgm:cxn modelId="{E78532EA-BC2F-494F-AE57-A85AAFEDACA1}" type="presOf" srcId="{32E6A4B6-3012-493C-A2D1-AB973BF3B1A5}" destId="{A54D8990-408B-4AFC-8577-4407EDC07FAC}" srcOrd="0" destOrd="1" presId="urn:microsoft.com/office/officeart/2005/8/layout/list1"/>
    <dgm:cxn modelId="{28B3F866-1BBD-46CD-9B18-06FABE84A0DC}" type="presOf" srcId="{EFBA1BB9-FF16-4C56-A9A5-D0189C10FD95}" destId="{A25AB85D-F77E-449C-B43D-05C0BF44BEEE}" srcOrd="0" destOrd="10" presId="urn:microsoft.com/office/officeart/2005/8/layout/list1"/>
    <dgm:cxn modelId="{22BCFC13-AB1C-4228-81FF-99CB14BC9B9C}" srcId="{4F8308B3-9ED2-4393-8204-32A3860B6E02}" destId="{D49C516A-4F8A-4BAA-B35F-EDAED9AF5431}" srcOrd="8" destOrd="0" parTransId="{AAAB394E-63D4-465E-A1CF-4808FE2F5B70}" sibTransId="{8CBB87F2-3B36-4F31-B92A-C957C6673CF2}"/>
    <dgm:cxn modelId="{71A01138-A2E7-437C-9535-356BB320A2E2}" type="presOf" srcId="{94985601-4BE0-4C33-A25D-8E3E8000C28E}" destId="{A54D8990-408B-4AFC-8577-4407EDC07FAC}" srcOrd="0" destOrd="3" presId="urn:microsoft.com/office/officeart/2005/8/layout/list1"/>
    <dgm:cxn modelId="{26BBC09A-DEB8-4915-AB32-3F7F1CC5CA00}" srcId="{744D2854-FDCB-43FE-95CE-B23F96E5823F}" destId="{DB638559-E216-476F-82F1-299CF28E6839}" srcOrd="6" destOrd="0" parTransId="{537F8162-8B9E-404E-B5C3-FC03845058C3}" sibTransId="{B7D9A951-ACF5-4DDC-8BA0-574DAEF63DAE}"/>
    <dgm:cxn modelId="{E0C5EC82-82C3-410C-B827-3A5FE8D19B2B}" type="presOf" srcId="{5B43E765-63DD-45CA-8654-B46A116C0C7E}" destId="{A25AB85D-F77E-449C-B43D-05C0BF44BEEE}" srcOrd="0" destOrd="0" presId="urn:microsoft.com/office/officeart/2005/8/layout/list1"/>
    <dgm:cxn modelId="{F2C25142-08C7-481E-8E18-35115ED19FD4}" srcId="{744D2854-FDCB-43FE-95CE-B23F96E5823F}" destId="{94985601-4BE0-4C33-A25D-8E3E8000C28E}" srcOrd="3" destOrd="0" parTransId="{5E23056D-96BC-44BD-8623-132D4012C512}" sibTransId="{D15FE7A0-5142-4044-8811-639B9BFC9892}"/>
    <dgm:cxn modelId="{7D06B9FD-17FD-46A4-AB97-BC5BBEE5E7D2}" type="presOf" srcId="{F062F434-B73D-4761-8FCC-2CC0F97F8849}" destId="{A25AB85D-F77E-449C-B43D-05C0BF44BEEE}" srcOrd="0" destOrd="2" presId="urn:microsoft.com/office/officeart/2005/8/layout/list1"/>
    <dgm:cxn modelId="{2483F4CE-4F86-46F4-BEA7-053E51E9136F}" type="presParOf" srcId="{5AAF564E-2C7A-4B79-9139-ADDB31711937}" destId="{114B4826-36B1-4F23-85EA-991AD9240176}" srcOrd="0" destOrd="0" presId="urn:microsoft.com/office/officeart/2005/8/layout/list1"/>
    <dgm:cxn modelId="{AA43CB21-C73E-4EA7-BDA6-FEE70CE8E10B}" type="presParOf" srcId="{114B4826-36B1-4F23-85EA-991AD9240176}" destId="{8B26BC05-E8A0-4CA3-8775-F1631EF5DBDA}" srcOrd="0" destOrd="0" presId="urn:microsoft.com/office/officeart/2005/8/layout/list1"/>
    <dgm:cxn modelId="{422038F5-7291-45E9-98A1-5CC3539EE7F1}" type="presParOf" srcId="{114B4826-36B1-4F23-85EA-991AD9240176}" destId="{B0E4DC9C-7B96-472E-A5C4-4C78C8A685B7}" srcOrd="1" destOrd="0" presId="urn:microsoft.com/office/officeart/2005/8/layout/list1"/>
    <dgm:cxn modelId="{D546F704-7762-4058-98BC-5ABA381D72D8}" type="presParOf" srcId="{5AAF564E-2C7A-4B79-9139-ADDB31711937}" destId="{F8BCA414-6AB2-4F7E-BB7E-55B33058C0DE}" srcOrd="1" destOrd="0" presId="urn:microsoft.com/office/officeart/2005/8/layout/list1"/>
    <dgm:cxn modelId="{6236281A-EEA5-4600-8203-1946A7D24E7E}" type="presParOf" srcId="{5AAF564E-2C7A-4B79-9139-ADDB31711937}" destId="{A54D8990-408B-4AFC-8577-4407EDC07FAC}" srcOrd="2" destOrd="0" presId="urn:microsoft.com/office/officeart/2005/8/layout/list1"/>
    <dgm:cxn modelId="{04CB5CB6-08D6-4F6D-B6D7-4CDC85DD9DFB}" type="presParOf" srcId="{5AAF564E-2C7A-4B79-9139-ADDB31711937}" destId="{4D226122-18F8-4D5B-91D3-6D2082AACB12}" srcOrd="3" destOrd="0" presId="urn:microsoft.com/office/officeart/2005/8/layout/list1"/>
    <dgm:cxn modelId="{94B93712-07CD-44E1-81BB-9DA4CE40CD43}" type="presParOf" srcId="{5AAF564E-2C7A-4B79-9139-ADDB31711937}" destId="{47805D07-6664-4ED8-9B63-F7FE6DE619BC}" srcOrd="4" destOrd="0" presId="urn:microsoft.com/office/officeart/2005/8/layout/list1"/>
    <dgm:cxn modelId="{580CC516-971C-4D67-961B-2D4C7FDB066F}" type="presParOf" srcId="{47805D07-6664-4ED8-9B63-F7FE6DE619BC}" destId="{3E59962B-FA2F-4D98-AD30-B88F89D33028}" srcOrd="0" destOrd="0" presId="urn:microsoft.com/office/officeart/2005/8/layout/list1"/>
    <dgm:cxn modelId="{460C8F71-0BE5-4AF6-BA64-84164C09FA46}" type="presParOf" srcId="{47805D07-6664-4ED8-9B63-F7FE6DE619BC}" destId="{213F2956-DCC6-424C-A43B-990487899CE1}" srcOrd="1" destOrd="0" presId="urn:microsoft.com/office/officeart/2005/8/layout/list1"/>
    <dgm:cxn modelId="{4FFEEEE2-CBAD-498E-8404-B8EACF1882B5}" type="presParOf" srcId="{5AAF564E-2C7A-4B79-9139-ADDB31711937}" destId="{C12D0682-B410-4DAE-8502-F11D2EEA6677}" srcOrd="5" destOrd="0" presId="urn:microsoft.com/office/officeart/2005/8/layout/list1"/>
    <dgm:cxn modelId="{DF42C52C-C32D-4CC4-BF6A-8FE8E26D24BF}" type="presParOf" srcId="{5AAF564E-2C7A-4B79-9139-ADDB31711937}" destId="{A25AB85D-F77E-449C-B43D-05C0BF44BEEE}" srcOrd="6"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D8990-408B-4AFC-8577-4407EDC07FAC}">
      <dsp:nvSpPr>
        <dsp:cNvPr id="0" name=""/>
        <dsp:cNvSpPr/>
      </dsp:nvSpPr>
      <dsp:spPr>
        <a:xfrm>
          <a:off x="0" y="217987"/>
          <a:ext cx="5724524" cy="2160900"/>
        </a:xfrm>
        <a:prstGeom prst="rect">
          <a:avLst/>
        </a:prstGeom>
        <a:solidFill>
          <a:schemeClr val="lt1">
            <a:alpha val="90000"/>
            <a:hueOff val="0"/>
            <a:satOff val="0"/>
            <a:lumOff val="0"/>
            <a:alphaOff val="0"/>
          </a:schemeClr>
        </a:solidFill>
        <a:ln w="9525" cap="flat" cmpd="sng" algn="ctr">
          <a:solidFill>
            <a:schemeClr val="accent3"/>
          </a:solidFill>
          <a:prstDash val="solid"/>
        </a:ln>
        <a:effectLst/>
      </dsp:spPr>
      <dsp:style>
        <a:lnRef idx="1">
          <a:scrgbClr r="0" g="0" b="0"/>
        </a:lnRef>
        <a:fillRef idx="1">
          <a:scrgbClr r="0" g="0" b="0"/>
        </a:fillRef>
        <a:effectRef idx="0">
          <a:scrgbClr r="0" g="0" b="0"/>
        </a:effectRef>
        <a:fontRef idx="minor"/>
      </dsp:style>
      <dsp:txBody>
        <a:bodyPr spcFirstLastPara="0" vert="horz" wrap="square" lIns="444287" tIns="291592" rIns="444287" bIns="78232" numCol="1" spcCol="1270" anchor="t" anchorCtr="0">
          <a:noAutofit/>
        </a:bodyPr>
        <a:lstStyle/>
        <a:p>
          <a:pPr marL="57150" lvl="1" indent="-57150" algn="l" defTabSz="466725">
            <a:lnSpc>
              <a:spcPct val="90000"/>
            </a:lnSpc>
            <a:spcBef>
              <a:spcPct val="0"/>
            </a:spcBef>
            <a:spcAft>
              <a:spcPct val="15000"/>
            </a:spcAft>
            <a:buChar char="••"/>
          </a:pPr>
          <a:r>
            <a:rPr lang="bg-BG" sz="1050" kern="1200"/>
            <a:t> </a:t>
          </a:r>
          <a:r>
            <a:rPr lang="bg-BG" sz="1100" kern="1200"/>
            <a:t>Правилно прилагане на нормативната уредба</a:t>
          </a:r>
        </a:p>
        <a:p>
          <a:pPr marL="57150" lvl="1" indent="-57150" algn="l" defTabSz="488950">
            <a:lnSpc>
              <a:spcPct val="90000"/>
            </a:lnSpc>
            <a:spcBef>
              <a:spcPct val="0"/>
            </a:spcBef>
            <a:spcAft>
              <a:spcPct val="15000"/>
            </a:spcAft>
            <a:buChar char="••"/>
          </a:pPr>
          <a:r>
            <a:rPr lang="bg-BG" sz="1100" kern="1200"/>
            <a:t> Спазване на заложените срокове</a:t>
          </a:r>
        </a:p>
        <a:p>
          <a:pPr marL="57150" lvl="1" indent="-57150" algn="l" defTabSz="488950">
            <a:lnSpc>
              <a:spcPct val="90000"/>
            </a:lnSpc>
            <a:spcBef>
              <a:spcPct val="0"/>
            </a:spcBef>
            <a:spcAft>
              <a:spcPct val="15000"/>
            </a:spcAft>
            <a:buChar char="••"/>
          </a:pPr>
          <a:r>
            <a:rPr lang="bg-BG" sz="1100" kern="1200"/>
            <a:t> Добро финансово управление на бюджетните средства</a:t>
          </a:r>
        </a:p>
        <a:p>
          <a:pPr marL="57150" lvl="1" indent="-57150" algn="l" defTabSz="488950">
            <a:lnSpc>
              <a:spcPct val="90000"/>
            </a:lnSpc>
            <a:spcBef>
              <a:spcPct val="0"/>
            </a:spcBef>
            <a:spcAft>
              <a:spcPct val="15000"/>
            </a:spcAft>
            <a:buChar char="••"/>
          </a:pPr>
          <a:r>
            <a:rPr lang="bg-BG" sz="1100" kern="1200"/>
            <a:t> Спазване на изискванията при възлагане на обществени поръчки</a:t>
          </a:r>
        </a:p>
        <a:p>
          <a:pPr marL="57150" lvl="1" indent="-57150" algn="l" defTabSz="488950">
            <a:lnSpc>
              <a:spcPct val="90000"/>
            </a:lnSpc>
            <a:spcBef>
              <a:spcPct val="0"/>
            </a:spcBef>
            <a:spcAft>
              <a:spcPct val="15000"/>
            </a:spcAft>
            <a:buChar char="••"/>
          </a:pPr>
          <a:r>
            <a:rPr lang="bg-BG" sz="1100" kern="1200"/>
            <a:t> Ефективно управление на имуществото</a:t>
          </a:r>
        </a:p>
        <a:p>
          <a:pPr marL="57150" lvl="1" indent="-57150" algn="l" defTabSz="488950">
            <a:lnSpc>
              <a:spcPct val="90000"/>
            </a:lnSpc>
            <a:spcBef>
              <a:spcPct val="0"/>
            </a:spcBef>
            <a:spcAft>
              <a:spcPct val="15000"/>
            </a:spcAft>
            <a:buChar char="••"/>
          </a:pPr>
          <a:r>
            <a:rPr lang="bg-BG" sz="1100" kern="1200"/>
            <a:t> Ясни отговорности и ефективна комуникация</a:t>
          </a:r>
        </a:p>
        <a:p>
          <a:pPr marL="57150" lvl="1" indent="-57150" algn="l" defTabSz="488950">
            <a:lnSpc>
              <a:spcPct val="90000"/>
            </a:lnSpc>
            <a:spcBef>
              <a:spcPct val="0"/>
            </a:spcBef>
            <a:spcAft>
              <a:spcPct val="15000"/>
            </a:spcAft>
            <a:buChar char="••"/>
          </a:pPr>
          <a:r>
            <a:rPr lang="bg-BG" sz="1100" kern="1200"/>
            <a:t> Точно счетоводно отчитане</a:t>
          </a:r>
        </a:p>
        <a:p>
          <a:pPr marL="57150" lvl="1" indent="-57150" algn="l" defTabSz="488950">
            <a:lnSpc>
              <a:spcPct val="90000"/>
            </a:lnSpc>
            <a:spcBef>
              <a:spcPct val="0"/>
            </a:spcBef>
            <a:spcAft>
              <a:spcPct val="15000"/>
            </a:spcAft>
            <a:buChar char="••"/>
          </a:pPr>
          <a:r>
            <a:rPr lang="bg-BG" sz="1100" kern="1200"/>
            <a:t> Ефективни контролни процедури</a:t>
          </a:r>
        </a:p>
        <a:p>
          <a:pPr marL="57150" lvl="1" indent="-57150" algn="l" defTabSz="488950">
            <a:lnSpc>
              <a:spcPct val="90000"/>
            </a:lnSpc>
            <a:spcBef>
              <a:spcPct val="0"/>
            </a:spcBef>
            <a:spcAft>
              <a:spcPct val="15000"/>
            </a:spcAft>
            <a:buChar char="••"/>
          </a:pPr>
          <a:r>
            <a:rPr lang="bg-BG" sz="1100" kern="1200"/>
            <a:t> Работеща стратегия за управление на рисковете</a:t>
          </a:r>
        </a:p>
        <a:p>
          <a:pPr marL="57150" lvl="1" indent="-57150" algn="l" defTabSz="488950">
            <a:lnSpc>
              <a:spcPct val="90000"/>
            </a:lnSpc>
            <a:spcBef>
              <a:spcPct val="0"/>
            </a:spcBef>
            <a:spcAft>
              <a:spcPct val="15000"/>
            </a:spcAft>
            <a:buChar char="••"/>
          </a:pPr>
          <a:r>
            <a:rPr lang="bg-BG" sz="1100" kern="1200"/>
            <a:t> Постигане на целите</a:t>
          </a:r>
        </a:p>
      </dsp:txBody>
      <dsp:txXfrm>
        <a:off x="0" y="217987"/>
        <a:ext cx="5724524" cy="2160900"/>
      </dsp:txXfrm>
    </dsp:sp>
    <dsp:sp modelId="{B0E4DC9C-7B96-472E-A5C4-4C78C8A685B7}">
      <dsp:nvSpPr>
        <dsp:cNvPr id="0" name=""/>
        <dsp:cNvSpPr/>
      </dsp:nvSpPr>
      <dsp:spPr>
        <a:xfrm>
          <a:off x="286226" y="11347"/>
          <a:ext cx="4007167" cy="413280"/>
        </a:xfrm>
        <a:prstGeom prst="roundRect">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461" tIns="0" rIns="151461" bIns="0" numCol="1" spcCol="1270" anchor="ctr" anchorCtr="0">
          <a:noAutofit/>
        </a:bodyPr>
        <a:lstStyle/>
        <a:p>
          <a:pPr lvl="0" algn="l" defTabSz="622300">
            <a:lnSpc>
              <a:spcPct val="90000"/>
            </a:lnSpc>
            <a:spcBef>
              <a:spcPct val="0"/>
            </a:spcBef>
            <a:spcAft>
              <a:spcPct val="35000"/>
            </a:spcAft>
          </a:pPr>
          <a:r>
            <a:rPr lang="bg-BG" sz="1400" b="1" kern="1200"/>
            <a:t>Индикатори за УСПЕХ</a:t>
          </a:r>
        </a:p>
      </dsp:txBody>
      <dsp:txXfrm>
        <a:off x="306401" y="31522"/>
        <a:ext cx="3966817" cy="372930"/>
      </dsp:txXfrm>
    </dsp:sp>
    <dsp:sp modelId="{A25AB85D-F77E-449C-B43D-05C0BF44BEEE}">
      <dsp:nvSpPr>
        <dsp:cNvPr id="0" name=""/>
        <dsp:cNvSpPr/>
      </dsp:nvSpPr>
      <dsp:spPr>
        <a:xfrm>
          <a:off x="0" y="2661127"/>
          <a:ext cx="5724524" cy="2690100"/>
        </a:xfrm>
        <a:prstGeom prst="rect">
          <a:avLst/>
        </a:prstGeom>
        <a:solidFill>
          <a:schemeClr val="lt1">
            <a:alpha val="90000"/>
            <a:hueOff val="0"/>
            <a:satOff val="0"/>
            <a:lumOff val="0"/>
            <a:alphaOff val="0"/>
          </a:schemeClr>
        </a:solidFill>
        <a:ln w="9525" cap="flat" cmpd="sng" algn="ctr">
          <a:solidFill>
            <a:schemeClr val="accent2"/>
          </a:solidFill>
          <a:prstDash val="solid"/>
        </a:ln>
        <a:effectLst/>
      </dsp:spPr>
      <dsp:style>
        <a:lnRef idx="1">
          <a:scrgbClr r="0" g="0" b="0"/>
        </a:lnRef>
        <a:fillRef idx="1">
          <a:scrgbClr r="0" g="0" b="0"/>
        </a:fillRef>
        <a:effectRef idx="0">
          <a:scrgbClr r="0" g="0" b="0"/>
        </a:effectRef>
        <a:fontRef idx="minor"/>
      </dsp:style>
      <dsp:txBody>
        <a:bodyPr spcFirstLastPara="0" vert="horz" wrap="square" lIns="444287" tIns="291592" rIns="444287" bIns="78232" numCol="1" spcCol="1270" anchor="t" anchorCtr="0">
          <a:noAutofit/>
        </a:bodyPr>
        <a:lstStyle/>
        <a:p>
          <a:pPr marL="57150" lvl="1" indent="-57150" algn="l" defTabSz="488950">
            <a:lnSpc>
              <a:spcPct val="90000"/>
            </a:lnSpc>
            <a:spcBef>
              <a:spcPct val="0"/>
            </a:spcBef>
            <a:spcAft>
              <a:spcPct val="15000"/>
            </a:spcAft>
            <a:buChar char="••"/>
          </a:pPr>
          <a:r>
            <a:rPr lang="bg-BG" sz="1100" kern="1200"/>
            <a:t> Неизпълнение на поставените цели</a:t>
          </a:r>
        </a:p>
        <a:p>
          <a:pPr marL="57150" lvl="1" indent="-57150" algn="l" defTabSz="488950">
            <a:lnSpc>
              <a:spcPct val="90000"/>
            </a:lnSpc>
            <a:spcBef>
              <a:spcPct val="0"/>
            </a:spcBef>
            <a:spcAft>
              <a:spcPct val="15000"/>
            </a:spcAft>
            <a:buChar char="••"/>
          </a:pPr>
          <a:r>
            <a:rPr lang="bg-BG" sz="1100" kern="1200"/>
            <a:t> Необосновани харчове</a:t>
          </a:r>
        </a:p>
        <a:p>
          <a:pPr marL="57150" lvl="1" indent="-57150" algn="l" defTabSz="488950">
            <a:lnSpc>
              <a:spcPct val="90000"/>
            </a:lnSpc>
            <a:spcBef>
              <a:spcPct val="0"/>
            </a:spcBef>
            <a:spcAft>
              <a:spcPct val="15000"/>
            </a:spcAft>
            <a:buChar char="••"/>
          </a:pPr>
          <a:r>
            <a:rPr lang="bg-BG" sz="1100" kern="1200"/>
            <a:t> Неикономично използване на финансовите средства</a:t>
          </a:r>
        </a:p>
        <a:p>
          <a:pPr marL="57150" lvl="1" indent="-57150" algn="l" defTabSz="488950">
            <a:lnSpc>
              <a:spcPct val="90000"/>
            </a:lnSpc>
            <a:spcBef>
              <a:spcPct val="0"/>
            </a:spcBef>
            <a:spcAft>
              <a:spcPct val="15000"/>
            </a:spcAft>
            <a:buChar char="••"/>
          </a:pPr>
          <a:r>
            <a:rPr lang="bg-BG" sz="1100" kern="1200"/>
            <a:t> Липса на утвърдени правила и процедури при възлагането на обществени поръчки</a:t>
          </a:r>
        </a:p>
        <a:p>
          <a:pPr marL="57150" lvl="1" indent="-57150" algn="l" defTabSz="488950">
            <a:lnSpc>
              <a:spcPct val="90000"/>
            </a:lnSpc>
            <a:spcBef>
              <a:spcPct val="0"/>
            </a:spcBef>
            <a:spcAft>
              <a:spcPct val="15000"/>
            </a:spcAft>
            <a:buChar char="••"/>
          </a:pPr>
          <a:r>
            <a:rPr lang="bg-BG" sz="1100" kern="1200"/>
            <a:t> Липса на прозрачност при определяне на размера на финансовите средства</a:t>
          </a:r>
        </a:p>
        <a:p>
          <a:pPr marL="57150" lvl="1" indent="-57150" algn="l" defTabSz="488950">
            <a:lnSpc>
              <a:spcPct val="90000"/>
            </a:lnSpc>
            <a:spcBef>
              <a:spcPct val="0"/>
            </a:spcBef>
            <a:spcAft>
              <a:spcPct val="15000"/>
            </a:spcAft>
            <a:buChar char="••"/>
          </a:pPr>
          <a:r>
            <a:rPr lang="bg-BG" sz="1100" kern="1200"/>
            <a:t> Липса на показатели за изпълнение на целите</a:t>
          </a:r>
        </a:p>
        <a:p>
          <a:pPr marL="57150" lvl="1" indent="-57150" algn="l" defTabSz="488950">
            <a:lnSpc>
              <a:spcPct val="90000"/>
            </a:lnSpc>
            <a:spcBef>
              <a:spcPct val="0"/>
            </a:spcBef>
            <a:spcAft>
              <a:spcPct val="15000"/>
            </a:spcAft>
            <a:buChar char="••"/>
          </a:pPr>
          <a:r>
            <a:rPr lang="bg-BG" sz="1100" kern="1200"/>
            <a:t> Недостоверно счетоводно отчитане</a:t>
          </a:r>
        </a:p>
        <a:p>
          <a:pPr marL="57150" lvl="1" indent="-57150" algn="l" defTabSz="488950">
            <a:lnSpc>
              <a:spcPct val="90000"/>
            </a:lnSpc>
            <a:spcBef>
              <a:spcPct val="0"/>
            </a:spcBef>
            <a:spcAft>
              <a:spcPct val="15000"/>
            </a:spcAft>
            <a:buChar char="••"/>
          </a:pPr>
          <a:r>
            <a:rPr lang="bg-BG" sz="1100" kern="1200"/>
            <a:t> Съществени нарушения при възлагането на обществените поръчки</a:t>
          </a:r>
        </a:p>
        <a:p>
          <a:pPr marL="57150" lvl="1" indent="-57150" algn="l" defTabSz="488950">
            <a:lnSpc>
              <a:spcPct val="90000"/>
            </a:lnSpc>
            <a:spcBef>
              <a:spcPct val="0"/>
            </a:spcBef>
            <a:spcAft>
              <a:spcPct val="15000"/>
            </a:spcAft>
            <a:buChar char="••"/>
          </a:pPr>
          <a:r>
            <a:rPr lang="bg-BG" sz="1100" kern="1200"/>
            <a:t> Лошо управление на имуществото</a:t>
          </a:r>
        </a:p>
        <a:p>
          <a:pPr marL="57150" lvl="1" indent="-57150" algn="l" defTabSz="488950">
            <a:lnSpc>
              <a:spcPct val="90000"/>
            </a:lnSpc>
            <a:spcBef>
              <a:spcPct val="0"/>
            </a:spcBef>
            <a:spcAft>
              <a:spcPct val="15000"/>
            </a:spcAft>
            <a:buChar char="••"/>
          </a:pPr>
          <a:r>
            <a:rPr lang="bg-BG" sz="1100" kern="1200"/>
            <a:t> Незаконосъобразност на сключени договори</a:t>
          </a:r>
        </a:p>
        <a:p>
          <a:pPr marL="57150" lvl="1" indent="-57150" algn="l" defTabSz="488950">
            <a:lnSpc>
              <a:spcPct val="90000"/>
            </a:lnSpc>
            <a:spcBef>
              <a:spcPct val="0"/>
            </a:spcBef>
            <a:spcAft>
              <a:spcPct val="15000"/>
            </a:spcAft>
            <a:buChar char="••"/>
          </a:pPr>
          <a:r>
            <a:rPr lang="bg-BG" sz="1100" kern="1200"/>
            <a:t> Липса на контролни механизми</a:t>
          </a:r>
        </a:p>
        <a:p>
          <a:pPr marL="57150" lvl="1" indent="-57150" algn="l" defTabSz="488950">
            <a:lnSpc>
              <a:spcPct val="90000"/>
            </a:lnSpc>
            <a:spcBef>
              <a:spcPct val="0"/>
            </a:spcBef>
            <a:spcAft>
              <a:spcPct val="15000"/>
            </a:spcAft>
            <a:buChar char="••"/>
          </a:pPr>
          <a:r>
            <a:rPr lang="bg-BG" sz="1100" kern="1200"/>
            <a:t> Неквалифициран персонал</a:t>
          </a:r>
        </a:p>
      </dsp:txBody>
      <dsp:txXfrm>
        <a:off x="0" y="2661127"/>
        <a:ext cx="5724524" cy="2690100"/>
      </dsp:txXfrm>
    </dsp:sp>
    <dsp:sp modelId="{213F2956-DCC6-424C-A43B-990487899CE1}">
      <dsp:nvSpPr>
        <dsp:cNvPr id="0" name=""/>
        <dsp:cNvSpPr/>
      </dsp:nvSpPr>
      <dsp:spPr>
        <a:xfrm>
          <a:off x="286226" y="2454487"/>
          <a:ext cx="4007167" cy="413280"/>
        </a:xfrm>
        <a:prstGeom prst="roundRect">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461" tIns="0" rIns="151461" bIns="0" numCol="1" spcCol="1270" anchor="ctr" anchorCtr="0">
          <a:noAutofit/>
        </a:bodyPr>
        <a:lstStyle/>
        <a:p>
          <a:pPr lvl="0" algn="l" defTabSz="622300">
            <a:lnSpc>
              <a:spcPct val="90000"/>
            </a:lnSpc>
            <a:spcBef>
              <a:spcPct val="0"/>
            </a:spcBef>
            <a:spcAft>
              <a:spcPct val="35000"/>
            </a:spcAft>
          </a:pPr>
          <a:r>
            <a:rPr lang="bg-BG" sz="1400" b="1" kern="1200"/>
            <a:t>Индикатори за ПРОВАЛ</a:t>
          </a:r>
        </a:p>
      </dsp:txBody>
      <dsp:txXfrm>
        <a:off x="306401" y="2474662"/>
        <a:ext cx="3966817"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0.59493</cdr:x>
      <cdr:y>0.249</cdr:y>
    </cdr:from>
    <cdr:to>
      <cdr:x>0.89967</cdr:x>
      <cdr:y>0.4152</cdr:y>
    </cdr:to>
    <cdr:sp macro="" textlink="">
      <cdr:nvSpPr>
        <cdr:cNvPr id="2" name="TextBox 1"/>
        <cdr:cNvSpPr txBox="1"/>
      </cdr:nvSpPr>
      <cdr:spPr>
        <a:xfrm xmlns:a="http://schemas.openxmlformats.org/drawingml/2006/main">
          <a:off x="1713227" y="582646"/>
          <a:ext cx="877573" cy="388904"/>
        </a:xfrm>
        <a:prstGeom xmlns:a="http://schemas.openxmlformats.org/drawingml/2006/main" prst="rect">
          <a:avLst/>
        </a:prstGeom>
        <a:solidFill xmlns:a="http://schemas.openxmlformats.org/drawingml/2006/main">
          <a:schemeClr val="bg1"/>
        </a:solidFill>
        <a:ln xmlns:a="http://schemas.openxmlformats.org/drawingml/2006/main">
          <a:solidFill>
            <a:schemeClr val="accent2"/>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Провали</a:t>
          </a:r>
        </a:p>
        <a:p xmlns:a="http://schemas.openxmlformats.org/drawingml/2006/main">
          <a:pPr algn="ctr"/>
          <a:r>
            <a:rPr lang="bg-BG" sz="900" b="0"/>
            <a:t>25</a:t>
          </a:r>
          <a:r>
            <a:rPr lang="bg-BG" sz="900" b="0" baseline="0"/>
            <a:t> доклада</a:t>
          </a:r>
          <a:endParaRPr lang="bg-BG" sz="900" b="0"/>
        </a:p>
      </cdr:txBody>
    </cdr:sp>
  </cdr:relSizeAnchor>
  <cdr:relSizeAnchor xmlns:cdr="http://schemas.openxmlformats.org/drawingml/2006/chartDrawing">
    <cdr:from>
      <cdr:x>0.18958</cdr:x>
      <cdr:y>0.19444</cdr:y>
    </cdr:from>
    <cdr:to>
      <cdr:x>0.48125</cdr:x>
      <cdr:y>0.42014</cdr:y>
    </cdr:to>
    <cdr:sp macro="" textlink="">
      <cdr:nvSpPr>
        <cdr:cNvPr id="3" name="TextBox 2"/>
        <cdr:cNvSpPr txBox="1"/>
      </cdr:nvSpPr>
      <cdr:spPr>
        <a:xfrm xmlns:a="http://schemas.openxmlformats.org/drawingml/2006/main">
          <a:off x="866775" y="533400"/>
          <a:ext cx="1333500" cy="619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0.01654</cdr:x>
      <cdr:y>0.23318</cdr:y>
    </cdr:from>
    <cdr:to>
      <cdr:x>0.39699</cdr:x>
      <cdr:y>0.37856</cdr:y>
    </cdr:to>
    <cdr:sp macro="" textlink="">
      <cdr:nvSpPr>
        <cdr:cNvPr id="4" name="TextBox 3"/>
        <cdr:cNvSpPr txBox="1"/>
      </cdr:nvSpPr>
      <cdr:spPr>
        <a:xfrm xmlns:a="http://schemas.openxmlformats.org/drawingml/2006/main">
          <a:off x="47626" y="545634"/>
          <a:ext cx="1095596" cy="340191"/>
        </a:xfrm>
        <a:prstGeom xmlns:a="http://schemas.openxmlformats.org/drawingml/2006/main" prst="rect">
          <a:avLst/>
        </a:prstGeom>
        <a:solidFill xmlns:a="http://schemas.openxmlformats.org/drawingml/2006/main">
          <a:schemeClr val="bg1"/>
        </a:solidFill>
        <a:ln xmlns:a="http://schemas.openxmlformats.org/drawingml/2006/main">
          <a:solidFill>
            <a:schemeClr val="bg1">
              <a:lumMod val="65000"/>
            </a:schemeClr>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Некласифицирани</a:t>
          </a:r>
          <a:endParaRPr lang="bg-BG" sz="900" b="0" baseline="0"/>
        </a:p>
        <a:p xmlns:a="http://schemas.openxmlformats.org/drawingml/2006/main">
          <a:pPr algn="ctr"/>
          <a:r>
            <a:rPr lang="bg-BG" sz="900" b="0" baseline="0"/>
            <a:t>29 доклада</a:t>
          </a:r>
          <a:endParaRPr lang="bg-BG" sz="900" b="0"/>
        </a:p>
      </cdr:txBody>
    </cdr:sp>
  </cdr:relSizeAnchor>
  <cdr:relSizeAnchor xmlns:cdr="http://schemas.openxmlformats.org/drawingml/2006/chartDrawing">
    <cdr:from>
      <cdr:x>0.48291</cdr:x>
      <cdr:y>0.80939</cdr:y>
    </cdr:from>
    <cdr:to>
      <cdr:x>0.78977</cdr:x>
      <cdr:y>0.95251</cdr:y>
    </cdr:to>
    <cdr:sp macro="" textlink="">
      <cdr:nvSpPr>
        <cdr:cNvPr id="5" name="TextBox 4"/>
        <cdr:cNvSpPr txBox="1"/>
      </cdr:nvSpPr>
      <cdr:spPr>
        <a:xfrm xmlns:a="http://schemas.openxmlformats.org/drawingml/2006/main">
          <a:off x="1390650" y="1893963"/>
          <a:ext cx="883670" cy="334888"/>
        </a:xfrm>
        <a:prstGeom xmlns:a="http://schemas.openxmlformats.org/drawingml/2006/main" prst="rect">
          <a:avLst/>
        </a:prstGeom>
        <a:solidFill xmlns:a="http://schemas.openxmlformats.org/drawingml/2006/main">
          <a:schemeClr val="bg1"/>
        </a:solidFill>
        <a:ln xmlns:a="http://schemas.openxmlformats.org/drawingml/2006/main">
          <a:solidFill>
            <a:schemeClr val="accent3"/>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Успехи</a:t>
          </a:r>
        </a:p>
        <a:p xmlns:a="http://schemas.openxmlformats.org/drawingml/2006/main">
          <a:pPr algn="ctr"/>
          <a:r>
            <a:rPr lang="bg-BG" sz="900" b="0"/>
            <a:t>15 доклада</a:t>
          </a:r>
        </a:p>
      </cdr:txBody>
    </cdr:sp>
  </cdr:relSizeAnchor>
</c:userShapes>
</file>

<file path=word/drawings/drawing2.xml><?xml version="1.0" encoding="utf-8"?>
<c:userShapes xmlns:c="http://schemas.openxmlformats.org/drawingml/2006/chart">
  <cdr:relSizeAnchor xmlns:cdr="http://schemas.openxmlformats.org/drawingml/2006/chartDrawing">
    <cdr:from>
      <cdr:x>0.62345</cdr:x>
      <cdr:y>0.71101</cdr:y>
    </cdr:from>
    <cdr:to>
      <cdr:x>0.9129</cdr:x>
      <cdr:y>0.87924</cdr:y>
    </cdr:to>
    <cdr:sp macro="" textlink="">
      <cdr:nvSpPr>
        <cdr:cNvPr id="2" name="TextBox 1"/>
        <cdr:cNvSpPr txBox="1"/>
      </cdr:nvSpPr>
      <cdr:spPr>
        <a:xfrm xmlns:a="http://schemas.openxmlformats.org/drawingml/2006/main">
          <a:off x="1795376" y="1663739"/>
          <a:ext cx="833523" cy="393661"/>
        </a:xfrm>
        <a:prstGeom xmlns:a="http://schemas.openxmlformats.org/drawingml/2006/main" prst="rect">
          <a:avLst/>
        </a:prstGeom>
        <a:solidFill xmlns:a="http://schemas.openxmlformats.org/drawingml/2006/main">
          <a:schemeClr val="bg1"/>
        </a:solidFill>
        <a:ln xmlns:a="http://schemas.openxmlformats.org/drawingml/2006/main">
          <a:solidFill>
            <a:schemeClr val="accent2"/>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Провали</a:t>
          </a:r>
        </a:p>
        <a:p xmlns:a="http://schemas.openxmlformats.org/drawingml/2006/main">
          <a:pPr algn="ctr"/>
          <a:r>
            <a:rPr lang="en-GB" sz="900" b="0" baseline="0"/>
            <a:t>5,</a:t>
          </a:r>
          <a:r>
            <a:rPr lang="bg-BG" sz="900" b="0" baseline="0"/>
            <a:t>0 млрд. лв. </a:t>
          </a:r>
          <a:endParaRPr lang="bg-BG" sz="900" b="0"/>
        </a:p>
      </cdr:txBody>
    </cdr:sp>
  </cdr:relSizeAnchor>
  <cdr:relSizeAnchor xmlns:cdr="http://schemas.openxmlformats.org/drawingml/2006/chartDrawing">
    <cdr:from>
      <cdr:x>0.18958</cdr:x>
      <cdr:y>0.19444</cdr:y>
    </cdr:from>
    <cdr:to>
      <cdr:x>0.48125</cdr:x>
      <cdr:y>0.42014</cdr:y>
    </cdr:to>
    <cdr:sp macro="" textlink="">
      <cdr:nvSpPr>
        <cdr:cNvPr id="3" name="TextBox 2"/>
        <cdr:cNvSpPr txBox="1"/>
      </cdr:nvSpPr>
      <cdr:spPr>
        <a:xfrm xmlns:a="http://schemas.openxmlformats.org/drawingml/2006/main">
          <a:off x="866775" y="533400"/>
          <a:ext cx="1333500" cy="619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0.07277</cdr:x>
      <cdr:y>0.04419</cdr:y>
    </cdr:from>
    <cdr:to>
      <cdr:x>0.47554</cdr:x>
      <cdr:y>0.19946</cdr:y>
    </cdr:to>
    <cdr:sp macro="" textlink="">
      <cdr:nvSpPr>
        <cdr:cNvPr id="4" name="TextBox 3"/>
        <cdr:cNvSpPr txBox="1"/>
      </cdr:nvSpPr>
      <cdr:spPr>
        <a:xfrm xmlns:a="http://schemas.openxmlformats.org/drawingml/2006/main">
          <a:off x="209550" y="103409"/>
          <a:ext cx="1159868" cy="363316"/>
        </a:xfrm>
        <a:prstGeom xmlns:a="http://schemas.openxmlformats.org/drawingml/2006/main" prst="rect">
          <a:avLst/>
        </a:prstGeom>
        <a:solidFill xmlns:a="http://schemas.openxmlformats.org/drawingml/2006/main">
          <a:schemeClr val="bg1"/>
        </a:solidFill>
        <a:ln xmlns:a="http://schemas.openxmlformats.org/drawingml/2006/main">
          <a:solidFill>
            <a:schemeClr val="bg1">
              <a:lumMod val="65000"/>
            </a:schemeClr>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Некласифицирани</a:t>
          </a:r>
        </a:p>
        <a:p xmlns:a="http://schemas.openxmlformats.org/drawingml/2006/main">
          <a:pPr algn="ctr"/>
          <a:r>
            <a:rPr lang="bg-BG" sz="900" b="0"/>
            <a:t>0,9 млрд. лв.</a:t>
          </a:r>
        </a:p>
      </cdr:txBody>
    </cdr:sp>
  </cdr:relSizeAnchor>
  <cdr:relSizeAnchor xmlns:cdr="http://schemas.openxmlformats.org/drawingml/2006/chartDrawing">
    <cdr:from>
      <cdr:x>0.00331</cdr:x>
      <cdr:y>0.33197</cdr:y>
    </cdr:from>
    <cdr:to>
      <cdr:x>0.31234</cdr:x>
      <cdr:y>0.4844</cdr:y>
    </cdr:to>
    <cdr:sp macro="" textlink="">
      <cdr:nvSpPr>
        <cdr:cNvPr id="5" name="TextBox 4"/>
        <cdr:cNvSpPr txBox="1"/>
      </cdr:nvSpPr>
      <cdr:spPr>
        <a:xfrm xmlns:a="http://schemas.openxmlformats.org/drawingml/2006/main">
          <a:off x="9525" y="776812"/>
          <a:ext cx="889941" cy="356663"/>
        </a:xfrm>
        <a:prstGeom xmlns:a="http://schemas.openxmlformats.org/drawingml/2006/main" prst="rect">
          <a:avLst/>
        </a:prstGeom>
        <a:solidFill xmlns:a="http://schemas.openxmlformats.org/drawingml/2006/main">
          <a:schemeClr val="bg1"/>
        </a:solidFill>
        <a:ln xmlns:a="http://schemas.openxmlformats.org/drawingml/2006/main">
          <a:solidFill>
            <a:schemeClr val="accent3"/>
          </a:solidFill>
        </a:ln>
        <a:effectLst xmlns:a="http://schemas.openxmlformats.org/drawingml/2006/main"/>
      </cdr:spPr>
      <cdr:txBody>
        <a:bodyPr xmlns:a="http://schemas.openxmlformats.org/drawingml/2006/main" wrap="square" rtlCol="0"/>
        <a:lstStyle xmlns:a="http://schemas.openxmlformats.org/drawingml/2006/main"/>
        <a:p xmlns:a="http://schemas.openxmlformats.org/drawingml/2006/main">
          <a:pPr algn="ctr"/>
          <a:r>
            <a:rPr lang="bg-BG" sz="900" b="0"/>
            <a:t>Успехи</a:t>
          </a:r>
          <a:endParaRPr lang="bg-BG" sz="900" b="0" baseline="0"/>
        </a:p>
        <a:p xmlns:a="http://schemas.openxmlformats.org/drawingml/2006/main">
          <a:pPr algn="ctr"/>
          <a:r>
            <a:rPr lang="en-GB" sz="900" b="0" baseline="0"/>
            <a:t>0,</a:t>
          </a:r>
          <a:r>
            <a:rPr lang="bg-BG" sz="900" b="0" baseline="0"/>
            <a:t>9 млрд. лв.</a:t>
          </a:r>
          <a:endParaRPr lang="bg-BG" sz="9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5358-F7EA-41C2-B6DE-04FEEBEF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2021-09-08T11:22:00Z</dcterms:created>
  <dcterms:modified xsi:type="dcterms:W3CDTF">2021-09-20T07:55:00Z</dcterms:modified>
</cp:coreProperties>
</file>